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ageBreakBefore w:val="0"/>
        <w:spacing w:line="276" w:lineRule="auto"/>
        <w:jc w:val="center"/>
        <w:rPr>
          <w:rFonts w:ascii="Calibri" w:cs="Calibri" w:eastAsia="Calibri" w:hAnsi="Calibri"/>
          <w:b w:val="1"/>
          <w:bCs w:val="1"/>
          <w:sz w:val="28"/>
          <w:szCs w:val="28"/>
          <w:u w:val="single"/>
        </w:rPr>
      </w:pPr>
      <w:r w:rsidDel="00000000" w:rsidR="00000000" w:rsidRPr="00000000">
        <w:rPr>
          <w:rFonts w:ascii="Calibri" w:cs="Calibri" w:eastAsia="Calibri" w:hAnsi="Calibri"/>
          <w:b w:val="1"/>
          <w:bCs w:val="1"/>
          <w:sz w:val="28"/>
          <w:szCs w:val="28"/>
          <w:u w:val="single"/>
          <w:rtl w:val="0"/>
        </w:rPr>
        <w:t xml:space="preserve">Whistle Blowing Policy</w:t>
      </w:r>
    </w:p>
    <w:p w:rsidR="00000000" w:rsidDel="00000000" w:rsidP="00000000" w:rsidRDefault="00000000" w:rsidRPr="00000000" w14:paraId="00000002">
      <w:pPr>
        <w:pageBreakBefore w:val="0"/>
        <w:spacing w:line="276" w:lineRule="auto"/>
        <w:jc w:val="center"/>
        <w:rPr>
          <w:rFonts w:ascii="Calibri" w:cs="Calibri" w:eastAsia="Calibri" w:hAnsi="Calibri"/>
          <w:b w:val="1"/>
          <w:bCs w:val="1"/>
          <w:sz w:val="28"/>
          <w:szCs w:val="28"/>
          <w:u w:val="single"/>
        </w:rPr>
      </w:pPr>
      <w:r w:rsidDel="00000000" w:rsidR="00000000" w:rsidRPr="00000000">
        <w:rPr>
          <w:rtl w:val="0"/>
        </w:rPr>
      </w:r>
    </w:p>
    <w:p w:rsidR="00000000" w:rsidDel="00000000" w:rsidP="00000000" w:rsidRDefault="00000000" w:rsidRPr="00000000" w14:paraId="00000003">
      <w:pPr>
        <w:pageBreakBefore w:val="0"/>
        <w:spacing w:line="276"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Stramash is committed to the highest possible standards of openness,</w:t>
      </w:r>
    </w:p>
    <w:p w:rsidR="00000000" w:rsidDel="00000000" w:rsidP="00000000" w:rsidRDefault="00000000" w:rsidRPr="00000000" w14:paraId="00000004">
      <w:pPr>
        <w:pageBreakBefore w:val="0"/>
        <w:spacing w:line="276"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integrity and accountability. In line with this commitment, Stramash encourages employees:</w:t>
      </w:r>
    </w:p>
    <w:p w:rsidR="00000000" w:rsidDel="00000000" w:rsidP="00000000" w:rsidRDefault="00000000" w:rsidRPr="00000000" w14:paraId="00000005">
      <w:pPr>
        <w:pageBreakBefore w:val="0"/>
        <w:spacing w:line="276"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a) To be vigilant;</w:t>
      </w:r>
    </w:p>
    <w:p w:rsidR="00000000" w:rsidDel="00000000" w:rsidP="00000000" w:rsidRDefault="00000000" w:rsidRPr="00000000" w14:paraId="00000006">
      <w:pPr>
        <w:pageBreakBefore w:val="0"/>
        <w:spacing w:line="276"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b) To act with integrity;</w:t>
      </w:r>
    </w:p>
    <w:p w:rsidR="00000000" w:rsidDel="00000000" w:rsidP="00000000" w:rsidRDefault="00000000" w:rsidRPr="00000000" w14:paraId="00000007">
      <w:pPr>
        <w:pageBreakBefore w:val="0"/>
        <w:spacing w:line="276"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c) To whistleblow on any legitimate concerns about any aspect of work within Stramash</w:t>
      </w:r>
    </w:p>
    <w:p w:rsidR="00000000" w:rsidDel="00000000" w:rsidP="00000000" w:rsidRDefault="00000000" w:rsidRPr="00000000" w14:paraId="00000008">
      <w:pPr>
        <w:pageBreakBefore w:val="0"/>
        <w:spacing w:line="276" w:lineRule="auto"/>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09">
      <w:pPr>
        <w:pageBreakBefore w:val="0"/>
        <w:spacing w:line="276"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Stramash believes that encouraging and enabling employees to raise serious concerns within the organisation rather than overlooking a problem or “blowing the whistle” outside allows for rectification of issues, growth as an organisation, and a strong sense of integrity.  </w:t>
      </w:r>
    </w:p>
    <w:p w:rsidR="00000000" w:rsidDel="00000000" w:rsidP="00000000" w:rsidRDefault="00000000" w:rsidRPr="00000000" w14:paraId="0000000A">
      <w:pPr>
        <w:pageBreakBefore w:val="0"/>
        <w:spacing w:line="276" w:lineRule="auto"/>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0B">
      <w:pPr>
        <w:pageBreakBefore w:val="0"/>
        <w:spacing w:line="276" w:lineRule="auto"/>
        <w:rPr>
          <w:rFonts w:ascii="Calibri" w:cs="Calibri" w:eastAsia="Calibri" w:hAnsi="Calibri"/>
          <w:sz w:val="24"/>
          <w:szCs w:val="24"/>
          <w:u w:val="single"/>
        </w:rPr>
      </w:pPr>
      <w:r w:rsidDel="00000000" w:rsidR="00000000" w:rsidRPr="00000000">
        <w:rPr>
          <w:rFonts w:ascii="Calibri" w:cs="Calibri" w:eastAsia="Calibri" w:hAnsi="Calibri"/>
          <w:sz w:val="24"/>
          <w:szCs w:val="24"/>
          <w:u w:val="single"/>
          <w:rtl w:val="0"/>
        </w:rPr>
        <w:t xml:space="preserve">What is whistleblowing?</w:t>
      </w:r>
    </w:p>
    <w:p w:rsidR="00000000" w:rsidDel="00000000" w:rsidP="00000000" w:rsidRDefault="00000000" w:rsidRPr="00000000" w14:paraId="0000000C">
      <w:pPr>
        <w:pageBreakBefore w:val="0"/>
        <w:spacing w:line="276"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Whistle blowing is the term used when someone who works in or for an organisation wishes to raise concerns because they have a reasonable belief about six qualifying disclosures (listed below) that are in the best interest of the public to be reported.</w:t>
      </w:r>
    </w:p>
    <w:p w:rsidR="00000000" w:rsidDel="00000000" w:rsidP="00000000" w:rsidRDefault="00000000" w:rsidRPr="00000000" w14:paraId="0000000D">
      <w:pPr>
        <w:pageBreakBefore w:val="0"/>
        <w:spacing w:line="276" w:lineRule="auto"/>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0E">
      <w:pPr>
        <w:pageBreakBefore w:val="0"/>
        <w:spacing w:line="276"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Please note: whistle blowing is different from a complaint or a grievance.</w:t>
      </w:r>
    </w:p>
    <w:p w:rsidR="00000000" w:rsidDel="00000000" w:rsidP="00000000" w:rsidRDefault="00000000" w:rsidRPr="00000000" w14:paraId="0000000F">
      <w:pPr>
        <w:pageBreakBefore w:val="0"/>
        <w:spacing w:line="276" w:lineRule="auto"/>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10">
      <w:pPr>
        <w:pageBreakBefore w:val="0"/>
        <w:widowControl w:val="0"/>
        <w:spacing w:line="276" w:lineRule="auto"/>
        <w:rPr>
          <w:rFonts w:ascii="Calibri" w:cs="Calibri" w:eastAsia="Calibri" w:hAnsi="Calibri"/>
          <w:sz w:val="24"/>
          <w:szCs w:val="24"/>
          <w:u w:val="single"/>
        </w:rPr>
      </w:pPr>
      <w:r w:rsidDel="00000000" w:rsidR="00000000" w:rsidRPr="00000000">
        <w:rPr>
          <w:rFonts w:ascii="Calibri" w:cs="Calibri" w:eastAsia="Calibri" w:hAnsi="Calibri"/>
          <w:sz w:val="24"/>
          <w:szCs w:val="24"/>
          <w:u w:val="single"/>
          <w:rtl w:val="0"/>
        </w:rPr>
        <w:t xml:space="preserve">Protection of Staff</w:t>
      </w:r>
    </w:p>
    <w:p w:rsidR="00000000" w:rsidDel="00000000" w:rsidP="00000000" w:rsidRDefault="00000000" w:rsidRPr="00000000" w14:paraId="00000011">
      <w:pPr>
        <w:pageBreakBefore w:val="0"/>
        <w:widowControl w:val="0"/>
        <w:spacing w:line="276"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Staff within Stramash who bring information about wrongdoing to the attention of their employers are protected in certain ways under the Public Interest Disclosure Act of 1998. The law that protects whistleblowers is in the public interest as it encourages people to speak out if they find malpractice within an organisation. Blowing the whistle is more formally known as 'making a disclosure in the public interest'.</w:t>
      </w:r>
    </w:p>
    <w:p w:rsidR="00000000" w:rsidDel="00000000" w:rsidP="00000000" w:rsidRDefault="00000000" w:rsidRPr="00000000" w14:paraId="00000012">
      <w:pPr>
        <w:pageBreakBefore w:val="0"/>
        <w:widowControl w:val="0"/>
        <w:spacing w:line="276" w:lineRule="auto"/>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13">
      <w:pPr>
        <w:pageBreakBefore w:val="0"/>
        <w:widowControl w:val="0"/>
        <w:spacing w:line="276"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This policy provides individuals in the workplace with protection from victimisation, reprisals or punishment where they raise a genuine concern about misconduct or malpractice within the organisation.</w:t>
      </w:r>
    </w:p>
    <w:p w:rsidR="00000000" w:rsidDel="00000000" w:rsidP="00000000" w:rsidRDefault="00000000" w:rsidRPr="00000000" w14:paraId="00000014">
      <w:pPr>
        <w:pageBreakBefore w:val="0"/>
        <w:widowControl w:val="0"/>
        <w:spacing w:line="276" w:lineRule="auto"/>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15">
      <w:pPr>
        <w:pageBreakBefore w:val="0"/>
        <w:widowControl w:val="0"/>
        <w:spacing w:line="276"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The Act covers behaviour which includes:</w:t>
      </w:r>
    </w:p>
    <w:p w:rsidR="00000000" w:rsidDel="00000000" w:rsidP="00000000" w:rsidRDefault="00000000" w:rsidRPr="00000000" w14:paraId="00000016">
      <w:pPr>
        <w:pageBreakBefore w:val="0"/>
        <w:widowControl w:val="0"/>
        <w:spacing w:line="276" w:lineRule="auto"/>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17">
      <w:pPr>
        <w:widowControl w:val="0"/>
        <w:numPr>
          <w:ilvl w:val="0"/>
          <w:numId w:val="8"/>
        </w:numPr>
        <w:ind w:left="787" w:hanging="360"/>
        <w:rPr>
          <w:rFonts w:ascii="Arial" w:cs="Arial" w:eastAsia="Arial" w:hAnsi="Arial"/>
          <w:sz w:val="24"/>
          <w:szCs w:val="24"/>
        </w:rPr>
      </w:pPr>
      <w:r w:rsidDel="00000000" w:rsidR="00000000" w:rsidRPr="00000000">
        <w:rPr>
          <w:rFonts w:ascii="Calibri" w:cs="Calibri" w:eastAsia="Calibri" w:hAnsi="Calibri"/>
          <w:sz w:val="24"/>
          <w:szCs w:val="24"/>
          <w:rtl w:val="0"/>
        </w:rPr>
        <w:t xml:space="preserve">Criminal Offence: That a criminal offence has been committed, is being committed, or is likely to be committed (e.g., fraud, theft, bribery).</w:t>
      </w:r>
    </w:p>
    <w:p w:rsidR="00000000" w:rsidDel="00000000" w:rsidP="00000000" w:rsidRDefault="00000000" w:rsidRPr="00000000" w14:paraId="00000018">
      <w:pPr>
        <w:widowControl w:val="0"/>
        <w:numPr>
          <w:ilvl w:val="0"/>
          <w:numId w:val="8"/>
        </w:numPr>
        <w:ind w:left="787" w:hanging="360"/>
        <w:rPr>
          <w:rFonts w:ascii="Arial" w:cs="Arial" w:eastAsia="Arial" w:hAnsi="Arial"/>
          <w:sz w:val="24"/>
          <w:szCs w:val="24"/>
        </w:rPr>
      </w:pPr>
      <w:r w:rsidDel="00000000" w:rsidR="00000000" w:rsidRPr="00000000">
        <w:rPr>
          <w:rFonts w:ascii="Calibri" w:cs="Calibri" w:eastAsia="Calibri" w:hAnsi="Calibri"/>
          <w:sz w:val="24"/>
          <w:szCs w:val="24"/>
          <w:rtl w:val="0"/>
        </w:rPr>
        <w:t xml:space="preserve">Failure to Comply with a Legal Obligation: That a person has failed, is failing, or is likely to fail to comply with any legal obligation (e.g., a breach of statutory regulations, contractual obligations, or common law duties).</w:t>
      </w:r>
    </w:p>
    <w:p w:rsidR="00000000" w:rsidDel="00000000" w:rsidP="00000000" w:rsidRDefault="00000000" w:rsidRPr="00000000" w14:paraId="00000019">
      <w:pPr>
        <w:widowControl w:val="0"/>
        <w:numPr>
          <w:ilvl w:val="0"/>
          <w:numId w:val="8"/>
        </w:numPr>
        <w:ind w:left="787" w:hanging="360"/>
        <w:rPr>
          <w:rFonts w:ascii="Arial" w:cs="Arial" w:eastAsia="Arial" w:hAnsi="Arial"/>
          <w:sz w:val="24"/>
          <w:szCs w:val="24"/>
        </w:rPr>
      </w:pPr>
      <w:r w:rsidDel="00000000" w:rsidR="00000000" w:rsidRPr="00000000">
        <w:rPr>
          <w:rFonts w:ascii="Calibri" w:cs="Calibri" w:eastAsia="Calibri" w:hAnsi="Calibri"/>
          <w:sz w:val="24"/>
          <w:szCs w:val="24"/>
          <w:rtl w:val="0"/>
        </w:rPr>
        <w:t xml:space="preserve">Miscarriage of Justice: That a miscarriage of justice has occurred, is occurring, or is likely to occur.</w:t>
      </w:r>
    </w:p>
    <w:p w:rsidR="00000000" w:rsidDel="00000000" w:rsidP="00000000" w:rsidRDefault="00000000" w:rsidRPr="00000000" w14:paraId="0000001A">
      <w:pPr>
        <w:widowControl w:val="0"/>
        <w:numPr>
          <w:ilvl w:val="0"/>
          <w:numId w:val="8"/>
        </w:numPr>
        <w:ind w:left="787" w:hanging="360"/>
        <w:rPr>
          <w:rFonts w:ascii="Arial" w:cs="Arial" w:eastAsia="Arial" w:hAnsi="Arial"/>
          <w:sz w:val="24"/>
          <w:szCs w:val="24"/>
        </w:rPr>
      </w:pPr>
      <w:r w:rsidDel="00000000" w:rsidR="00000000" w:rsidRPr="00000000">
        <w:rPr>
          <w:rFonts w:ascii="Calibri" w:cs="Calibri" w:eastAsia="Calibri" w:hAnsi="Calibri"/>
          <w:sz w:val="24"/>
          <w:szCs w:val="24"/>
          <w:rtl w:val="0"/>
        </w:rPr>
        <w:t xml:space="preserve">Danger to Health and Safety: That the health or safety of any individual has been, is being, or is likely to be endangered.</w:t>
      </w:r>
    </w:p>
    <w:p w:rsidR="00000000" w:rsidDel="00000000" w:rsidP="00000000" w:rsidRDefault="00000000" w:rsidRPr="00000000" w14:paraId="0000001B">
      <w:pPr>
        <w:widowControl w:val="0"/>
        <w:numPr>
          <w:ilvl w:val="0"/>
          <w:numId w:val="8"/>
        </w:numPr>
        <w:ind w:left="787" w:hanging="360"/>
        <w:rPr>
          <w:rFonts w:ascii="Arial" w:cs="Arial" w:eastAsia="Arial" w:hAnsi="Arial"/>
          <w:sz w:val="24"/>
          <w:szCs w:val="24"/>
        </w:rPr>
      </w:pPr>
      <w:r w:rsidDel="00000000" w:rsidR="00000000" w:rsidRPr="00000000">
        <w:rPr>
          <w:rFonts w:ascii="Calibri" w:cs="Calibri" w:eastAsia="Calibri" w:hAnsi="Calibri"/>
          <w:sz w:val="24"/>
          <w:szCs w:val="24"/>
          <w:rtl w:val="0"/>
        </w:rPr>
        <w:t xml:space="preserve">Damage to the Environment: That the environment has been, is being, or is likely to be damaged.</w:t>
      </w:r>
    </w:p>
    <w:p w:rsidR="00000000" w:rsidDel="00000000" w:rsidP="00000000" w:rsidRDefault="00000000" w:rsidRPr="00000000" w14:paraId="0000001C">
      <w:pPr>
        <w:widowControl w:val="0"/>
        <w:numPr>
          <w:ilvl w:val="0"/>
          <w:numId w:val="8"/>
        </w:numPr>
        <w:ind w:left="787" w:hanging="360"/>
        <w:rPr>
          <w:rFonts w:ascii="Arial" w:cs="Arial" w:eastAsia="Arial" w:hAnsi="Arial"/>
          <w:sz w:val="24"/>
          <w:szCs w:val="24"/>
        </w:rPr>
      </w:pPr>
      <w:r w:rsidDel="00000000" w:rsidR="00000000" w:rsidRPr="00000000">
        <w:rPr>
          <w:rFonts w:ascii="Calibri" w:cs="Calibri" w:eastAsia="Calibri" w:hAnsi="Calibri"/>
          <w:sz w:val="24"/>
          <w:szCs w:val="24"/>
          <w:rtl w:val="0"/>
        </w:rPr>
        <w:t xml:space="preserve">Deliberate Concealment: That there has been a deliberate concealment of information relating to any of the five categories listed above.</w:t>
      </w:r>
    </w:p>
    <w:p w:rsidR="00000000" w:rsidDel="00000000" w:rsidP="00000000" w:rsidRDefault="00000000" w:rsidRPr="00000000" w14:paraId="0000001D">
      <w:pPr>
        <w:pageBreakBefore w:val="0"/>
        <w:widowControl w:val="0"/>
        <w:spacing w:line="276" w:lineRule="auto"/>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1E">
      <w:pPr>
        <w:pageBreakBefore w:val="0"/>
        <w:widowControl w:val="0"/>
        <w:spacing w:line="276"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All staff are entitled to expect fair and reasonable treatment from management and colleagues should they make a disclosure.  Staff are also entitled to seek advice from a Trade Union, a lawyer or others as they see fit. A disclosure made to a legal professional in the course of seeking legal advice is automatically considered a protected disclosure under PIDA.</w:t>
      </w:r>
    </w:p>
    <w:p w:rsidR="00000000" w:rsidDel="00000000" w:rsidP="00000000" w:rsidRDefault="00000000" w:rsidRPr="00000000" w14:paraId="0000001F">
      <w:pPr>
        <w:pageBreakBefore w:val="0"/>
        <w:widowControl w:val="0"/>
        <w:spacing w:line="276" w:lineRule="auto"/>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20">
      <w:pPr>
        <w:pageBreakBefore w:val="0"/>
        <w:widowControl w:val="0"/>
        <w:spacing w:line="276" w:lineRule="auto"/>
        <w:rPr>
          <w:rFonts w:ascii="Calibri" w:cs="Calibri" w:eastAsia="Calibri" w:hAnsi="Calibri"/>
          <w:sz w:val="24"/>
          <w:szCs w:val="24"/>
          <w:u w:val="single"/>
        </w:rPr>
      </w:pPr>
      <w:r w:rsidDel="00000000" w:rsidR="00000000" w:rsidRPr="00000000">
        <w:rPr>
          <w:rFonts w:ascii="Calibri" w:cs="Calibri" w:eastAsia="Calibri" w:hAnsi="Calibri"/>
          <w:sz w:val="24"/>
          <w:szCs w:val="24"/>
          <w:u w:val="single"/>
          <w:rtl w:val="0"/>
        </w:rPr>
        <w:t xml:space="preserve">Reporting Procedures</w:t>
      </w:r>
    </w:p>
    <w:p w:rsidR="00000000" w:rsidDel="00000000" w:rsidP="00000000" w:rsidRDefault="00000000" w:rsidRPr="00000000" w14:paraId="00000021">
      <w:pPr>
        <w:pageBreakBefore w:val="0"/>
        <w:widowControl w:val="0"/>
        <w:spacing w:line="276"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Any member of staff who, acting in good faith, wishes to make a disclosure in the public interest should normally report the matter to the Nursery head, Practice Lead, or any member of the Senior Management Team,</w:t>
      </w:r>
      <w:r w:rsidDel="00000000" w:rsidR="00000000" w:rsidRPr="00000000">
        <w:rPr>
          <w:rFonts w:ascii="Calibri" w:cs="Calibri" w:eastAsia="Calibri" w:hAnsi="Calibri"/>
          <w:i w:val="1"/>
          <w:iCs w:val="1"/>
          <w:color w:val="ff3333"/>
          <w:sz w:val="24"/>
          <w:szCs w:val="24"/>
          <w:rtl w:val="0"/>
        </w:rPr>
        <w:t xml:space="preserve"> </w:t>
      </w:r>
      <w:r w:rsidDel="00000000" w:rsidR="00000000" w:rsidRPr="00000000">
        <w:rPr>
          <w:rFonts w:ascii="Calibri" w:cs="Calibri" w:eastAsia="Calibri" w:hAnsi="Calibri"/>
          <w:sz w:val="24"/>
          <w:szCs w:val="24"/>
          <w:rtl w:val="0"/>
        </w:rPr>
        <w:t xml:space="preserve">who will advise the worker of the action he or she will take in response to the concerns expressed.   This person will hereafter be referred to as the investigating officer. Disclosures will be investigated and resolved as quickly as possible.</w:t>
      </w:r>
    </w:p>
    <w:p w:rsidR="00000000" w:rsidDel="00000000" w:rsidP="00000000" w:rsidRDefault="00000000" w:rsidRPr="00000000" w14:paraId="00000022">
      <w:pPr>
        <w:pageBreakBefore w:val="0"/>
        <w:widowControl w:val="0"/>
        <w:spacing w:line="276" w:lineRule="auto"/>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23">
      <w:pPr>
        <w:pageBreakBefore w:val="0"/>
        <w:widowControl w:val="0"/>
        <w:spacing w:line="276"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If the member of staff feels the matter cannot be discussed with or relates to the Nursery Head, Practice Lead, or line manager,  then they should report directly to the Senior Management team (SMT), and then the final escalation route is to report to the Chairperson of the Board.</w:t>
      </w:r>
    </w:p>
    <w:p w:rsidR="00000000" w:rsidDel="00000000" w:rsidP="00000000" w:rsidRDefault="00000000" w:rsidRPr="00000000" w14:paraId="00000024">
      <w:pPr>
        <w:pageBreakBefore w:val="0"/>
        <w:widowControl w:val="0"/>
        <w:spacing w:line="276" w:lineRule="auto"/>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25">
      <w:pPr>
        <w:pageBreakBefore w:val="0"/>
        <w:widowControl w:val="0"/>
        <w:spacing w:line="276"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The escalation route for any whistleblowing is:</w:t>
      </w:r>
    </w:p>
    <w:p w:rsidR="00000000" w:rsidDel="00000000" w:rsidP="00000000" w:rsidRDefault="00000000" w:rsidRPr="00000000" w14:paraId="00000026">
      <w:pPr>
        <w:pageBreakBefore w:val="0"/>
        <w:widowControl w:val="0"/>
        <w:spacing w:line="276" w:lineRule="auto"/>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27">
      <w:pPr>
        <w:widowControl w:val="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Tier 1 (Normal): Nursery Head/Practice Lead/SMT member.</w:t>
      </w:r>
    </w:p>
    <w:p w:rsidR="00000000" w:rsidDel="00000000" w:rsidP="00000000" w:rsidRDefault="00000000" w:rsidRPr="00000000" w14:paraId="00000028">
      <w:pPr>
        <w:widowControl w:val="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Tier 2 (Escalation): SMT as a whole.</w:t>
      </w:r>
    </w:p>
    <w:p w:rsidR="00000000" w:rsidDel="00000000" w:rsidP="00000000" w:rsidRDefault="00000000" w:rsidRPr="00000000" w14:paraId="00000029">
      <w:pPr>
        <w:widowControl w:val="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Tier 3 (Final Internal Route): Independent Nominated Officer (Chairperson of the Board).</w:t>
      </w:r>
    </w:p>
    <w:p w:rsidR="00000000" w:rsidDel="00000000" w:rsidP="00000000" w:rsidRDefault="00000000" w:rsidRPr="00000000" w14:paraId="0000002A">
      <w:pPr>
        <w:pageBreakBefore w:val="0"/>
        <w:widowControl w:val="0"/>
        <w:spacing w:line="276" w:lineRule="auto"/>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2B">
      <w:pPr>
        <w:pageBreakBefore w:val="0"/>
        <w:widowControl w:val="0"/>
        <w:spacing w:line="276" w:lineRule="auto"/>
        <w:rPr>
          <w:rFonts w:ascii="Calibri" w:cs="Calibri" w:eastAsia="Calibri" w:hAnsi="Calibri"/>
          <w:sz w:val="24"/>
          <w:szCs w:val="24"/>
          <w:u w:val="single"/>
        </w:rPr>
      </w:pPr>
      <w:r w:rsidDel="00000000" w:rsidR="00000000" w:rsidRPr="00000000">
        <w:rPr>
          <w:rFonts w:ascii="Calibri" w:cs="Calibri" w:eastAsia="Calibri" w:hAnsi="Calibri"/>
          <w:sz w:val="24"/>
          <w:szCs w:val="24"/>
          <w:u w:val="single"/>
          <w:rtl w:val="0"/>
        </w:rPr>
        <w:t xml:space="preserve">Timescales</w:t>
      </w:r>
    </w:p>
    <w:p w:rsidR="00000000" w:rsidDel="00000000" w:rsidP="00000000" w:rsidRDefault="00000000" w:rsidRPr="00000000" w14:paraId="0000002C">
      <w:pPr>
        <w:pageBreakBefore w:val="0"/>
        <w:widowControl w:val="0"/>
        <w:spacing w:line="276"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Due to the varied nature of these sorts of disclosures, which may involve external agencies such as the police alongside Stramash’s own investigator, it is not possible to lay down precise timescales for such investigations; however, Stramash will aim to commit to the below timescales:</w:t>
      </w:r>
    </w:p>
    <w:p w:rsidR="00000000" w:rsidDel="00000000" w:rsidP="00000000" w:rsidRDefault="00000000" w:rsidRPr="00000000" w14:paraId="0000002D">
      <w:pPr>
        <w:pageBreakBefore w:val="0"/>
        <w:widowControl w:val="0"/>
        <w:spacing w:line="276" w:lineRule="auto"/>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2E">
      <w:pPr>
        <w:pageBreakBefore w:val="0"/>
        <w:widowControl w:val="0"/>
        <w:spacing w:line="276"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Acknowledgement: A written acknowledgment confirming receipt of your disclosure will be sent to your home address within 3 working days of being received by the investigating officer</w:t>
      </w:r>
    </w:p>
    <w:p w:rsidR="00000000" w:rsidDel="00000000" w:rsidP="00000000" w:rsidRDefault="00000000" w:rsidRPr="00000000" w14:paraId="0000002F">
      <w:pPr>
        <w:pageBreakBefore w:val="0"/>
        <w:widowControl w:val="0"/>
        <w:spacing w:line="276"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Initial Feedback/Assessment. The Investigating Officer will provide a written update within 15 working days. This update will confirm whether the concern is proceeding as a whistleblowing investigation and will provide an estimated timescale for completion.</w:t>
      </w:r>
    </w:p>
    <w:p w:rsidR="00000000" w:rsidDel="00000000" w:rsidP="00000000" w:rsidRDefault="00000000" w:rsidRPr="00000000" w14:paraId="00000030">
      <w:pPr>
        <w:pageBreakBefore w:val="0"/>
        <w:widowControl w:val="0"/>
        <w:spacing w:line="276" w:lineRule="auto"/>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31">
      <w:pPr>
        <w:pageBreakBefore w:val="0"/>
        <w:widowControl w:val="0"/>
        <w:spacing w:line="276"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All responses to the complainant will be in writing and sent to their own homes unless otherwise agreed to be sent to a specific email address.</w:t>
      </w:r>
    </w:p>
    <w:p w:rsidR="00000000" w:rsidDel="00000000" w:rsidP="00000000" w:rsidRDefault="00000000" w:rsidRPr="00000000" w14:paraId="00000032">
      <w:pPr>
        <w:pageBreakBefore w:val="0"/>
        <w:widowControl w:val="0"/>
        <w:spacing w:line="276" w:lineRule="auto"/>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33">
      <w:pPr>
        <w:pageBreakBefore w:val="0"/>
        <w:widowControl w:val="0"/>
        <w:spacing w:line="276" w:lineRule="auto"/>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34">
      <w:pPr>
        <w:pageBreakBefore w:val="0"/>
        <w:widowControl w:val="0"/>
        <w:spacing w:line="276" w:lineRule="auto"/>
        <w:rPr>
          <w:rFonts w:ascii="Calibri" w:cs="Calibri" w:eastAsia="Calibri" w:hAnsi="Calibri"/>
          <w:sz w:val="24"/>
          <w:szCs w:val="24"/>
          <w:u w:val="single"/>
        </w:rPr>
      </w:pPr>
      <w:r w:rsidDel="00000000" w:rsidR="00000000" w:rsidRPr="00000000">
        <w:rPr>
          <w:rFonts w:ascii="Calibri" w:cs="Calibri" w:eastAsia="Calibri" w:hAnsi="Calibri"/>
          <w:sz w:val="24"/>
          <w:szCs w:val="24"/>
          <w:u w:val="single"/>
          <w:rtl w:val="0"/>
        </w:rPr>
        <w:t xml:space="preserve">Investigating Procedures</w:t>
      </w:r>
    </w:p>
    <w:p w:rsidR="00000000" w:rsidDel="00000000" w:rsidP="00000000" w:rsidRDefault="00000000" w:rsidRPr="00000000" w14:paraId="00000035">
      <w:pPr>
        <w:pageBreakBefore w:val="0"/>
        <w:widowControl w:val="0"/>
        <w:spacing w:line="276"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The investigating officer will follow these steps:</w:t>
      </w:r>
    </w:p>
    <w:p w:rsidR="00000000" w:rsidDel="00000000" w:rsidP="00000000" w:rsidRDefault="00000000" w:rsidRPr="00000000" w14:paraId="00000036">
      <w:pPr>
        <w:pageBreakBefore w:val="0"/>
        <w:widowControl w:val="0"/>
        <w:numPr>
          <w:ilvl w:val="0"/>
          <w:numId w:val="10"/>
        </w:numPr>
        <w:spacing w:line="276" w:lineRule="auto"/>
        <w:ind w:left="720" w:hanging="36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Full details and clarifications of the disclosure should be obtained and noted.   The individual making the disclosure will provide a statement as part of the required evidence.</w:t>
      </w:r>
    </w:p>
    <w:p w:rsidR="00000000" w:rsidDel="00000000" w:rsidP="00000000" w:rsidRDefault="00000000" w:rsidRPr="00000000" w14:paraId="00000037">
      <w:pPr>
        <w:pageBreakBefore w:val="0"/>
        <w:widowControl w:val="0"/>
        <w:numPr>
          <w:ilvl w:val="0"/>
          <w:numId w:val="10"/>
        </w:numPr>
        <w:spacing w:line="276" w:lineRule="auto"/>
        <w:ind w:left="720" w:hanging="36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The investigating officer will inform any member of staff against whom a disclosure is made as soon as possible. This member of staff will be informed of their right to be accompanied by a trade union or other representative at any future interview or hearing held under the provisions of these procedures.</w:t>
      </w:r>
    </w:p>
    <w:p w:rsidR="00000000" w:rsidDel="00000000" w:rsidP="00000000" w:rsidRDefault="00000000" w:rsidRPr="00000000" w14:paraId="00000038">
      <w:pPr>
        <w:pageBreakBefore w:val="0"/>
        <w:widowControl w:val="0"/>
        <w:numPr>
          <w:ilvl w:val="0"/>
          <w:numId w:val="10"/>
        </w:numPr>
        <w:spacing w:line="276" w:lineRule="auto"/>
        <w:ind w:left="720" w:hanging="360"/>
        <w:rPr>
          <w:rFonts w:ascii="Arial" w:cs="Arial" w:eastAsia="Arial" w:hAnsi="Arial"/>
          <w:sz w:val="24"/>
          <w:szCs w:val="24"/>
        </w:rPr>
      </w:pPr>
      <w:r w:rsidDel="00000000" w:rsidR="00000000" w:rsidRPr="00000000">
        <w:rPr>
          <w:rFonts w:ascii="Calibri" w:cs="Calibri" w:eastAsia="Calibri" w:hAnsi="Calibri"/>
          <w:sz w:val="24"/>
          <w:szCs w:val="24"/>
          <w:rtl w:val="0"/>
        </w:rPr>
        <w:t xml:space="preserve">The investigating officer should consider whether the case merits the involvement of the auditors, Care Inspectorate, or police at this stage and should consult with the SMT. The SMT will decide how to proceed in consultation, where necessary, with the Care Inspectorate. Where evidence suggests criminal activity, the Investigating Officer will immediately consult with the Independent Nominated Officer (Chairperson of the Board). The SMT, in conjunction with the Independent Nominated Officer, will decide on the formal escalation to the police.</w:t>
      </w:r>
    </w:p>
    <w:p w:rsidR="00000000" w:rsidDel="00000000" w:rsidP="00000000" w:rsidRDefault="00000000" w:rsidRPr="00000000" w14:paraId="00000039">
      <w:pPr>
        <w:pageBreakBefore w:val="0"/>
        <w:widowControl w:val="0"/>
        <w:numPr>
          <w:ilvl w:val="0"/>
          <w:numId w:val="10"/>
        </w:numPr>
        <w:spacing w:line="276" w:lineRule="auto"/>
        <w:ind w:left="720" w:hanging="36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The allegations should be fully investigated by the investigating officer with the assistance of other individuals/bodies as appropriate.</w:t>
      </w:r>
    </w:p>
    <w:p w:rsidR="00000000" w:rsidDel="00000000" w:rsidP="00000000" w:rsidRDefault="00000000" w:rsidRPr="00000000" w14:paraId="0000003A">
      <w:pPr>
        <w:pageBreakBefore w:val="0"/>
        <w:widowControl w:val="0"/>
        <w:numPr>
          <w:ilvl w:val="0"/>
          <w:numId w:val="10"/>
        </w:numPr>
        <w:spacing w:line="276" w:lineRule="auto"/>
        <w:ind w:left="720" w:hanging="36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A judgement concerning the validity of the disclosure will be made by the investigating officer. The judgement will be detailed in a written report containing the findings of the investigations and reasons for the judgement.   The report will be passed to the SMT.</w:t>
      </w:r>
    </w:p>
    <w:p w:rsidR="00000000" w:rsidDel="00000000" w:rsidP="00000000" w:rsidRDefault="00000000" w:rsidRPr="00000000" w14:paraId="0000003B">
      <w:pPr>
        <w:pageBreakBefore w:val="0"/>
        <w:widowControl w:val="0"/>
        <w:numPr>
          <w:ilvl w:val="0"/>
          <w:numId w:val="10"/>
        </w:numPr>
        <w:spacing w:line="276" w:lineRule="auto"/>
        <w:ind w:left="720" w:hanging="36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The SMT will decide what action to take. This may include whether the issue raised should be dealt with through Stramash's own grievance procedures rather than being treated as an instance of whistleblowing. If the disclosure is shown to be justified, they will invoke disciplinary or other appropriate procedures.</w:t>
      </w:r>
    </w:p>
    <w:p w:rsidR="00000000" w:rsidDel="00000000" w:rsidP="00000000" w:rsidRDefault="00000000" w:rsidRPr="00000000" w14:paraId="0000003C">
      <w:pPr>
        <w:pageBreakBefore w:val="0"/>
        <w:widowControl w:val="0"/>
        <w:numPr>
          <w:ilvl w:val="0"/>
          <w:numId w:val="10"/>
        </w:numPr>
        <w:spacing w:line="276" w:lineRule="auto"/>
        <w:ind w:left="720" w:hanging="36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The person making the disclosure will be kept informed of the progress of the investigations and, if appropriate, of the final outcome.</w:t>
      </w:r>
    </w:p>
    <w:p w:rsidR="00000000" w:rsidDel="00000000" w:rsidP="00000000" w:rsidRDefault="00000000" w:rsidRPr="00000000" w14:paraId="0000003D">
      <w:pPr>
        <w:pageBreakBefore w:val="0"/>
        <w:widowControl w:val="0"/>
        <w:numPr>
          <w:ilvl w:val="0"/>
          <w:numId w:val="10"/>
        </w:numPr>
        <w:spacing w:line="276" w:lineRule="auto"/>
        <w:ind w:left="720" w:hanging="36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Where appropriate, a copy of the outcomes will be passed to the auditor or Care Inspectorate to enable a review of the procedures.</w:t>
      </w:r>
    </w:p>
    <w:p w:rsidR="00000000" w:rsidDel="00000000" w:rsidP="00000000" w:rsidRDefault="00000000" w:rsidRPr="00000000" w14:paraId="0000003E">
      <w:pPr>
        <w:pageBreakBefore w:val="0"/>
        <w:widowControl w:val="0"/>
        <w:spacing w:line="276" w:lineRule="auto"/>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3F">
      <w:pPr>
        <w:pageBreakBefore w:val="0"/>
        <w:widowControl w:val="0"/>
        <w:spacing w:line="276"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In cases where the allegations are found to be unsubstantiated and the complainant remains unsatisfied with the outcome, Stramash recognises the lawful right of employees and ex-employees to make disclosures directly to prescribed bodies detailed in Appendix A.</w:t>
      </w:r>
    </w:p>
    <w:p w:rsidR="00000000" w:rsidDel="00000000" w:rsidP="00000000" w:rsidRDefault="00000000" w:rsidRPr="00000000" w14:paraId="00000040">
      <w:pPr>
        <w:pageBreakBefore w:val="0"/>
        <w:widowControl w:val="0"/>
        <w:spacing w:line="276" w:lineRule="auto"/>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41">
      <w:pPr>
        <w:pageBreakBefore w:val="0"/>
        <w:widowControl w:val="0"/>
        <w:spacing w:line="276" w:lineRule="auto"/>
        <w:rPr>
          <w:rFonts w:ascii="Calibri" w:cs="Calibri" w:eastAsia="Calibri" w:hAnsi="Calibri"/>
          <w:sz w:val="24"/>
          <w:szCs w:val="24"/>
          <w:u w:val="single"/>
        </w:rPr>
      </w:pPr>
      <w:r w:rsidDel="00000000" w:rsidR="00000000" w:rsidRPr="00000000">
        <w:rPr>
          <w:rFonts w:ascii="Calibri" w:cs="Calibri" w:eastAsia="Calibri" w:hAnsi="Calibri"/>
          <w:sz w:val="24"/>
          <w:szCs w:val="24"/>
          <w:u w:val="single"/>
          <w:rtl w:val="0"/>
        </w:rPr>
        <w:t xml:space="preserve">Identity of Whistleblower</w:t>
      </w:r>
    </w:p>
    <w:p w:rsidR="00000000" w:rsidDel="00000000" w:rsidP="00000000" w:rsidRDefault="00000000" w:rsidRPr="00000000" w14:paraId="00000042">
      <w:pPr>
        <w:pageBreakBefore w:val="0"/>
        <w:widowControl w:val="0"/>
        <w:spacing w:line="276"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A disclosure made in good faith to management will be protected as far as possible.   Confidentiality/Anonymity will be maintained wherever possible, and the member of staff will not suffer any personal detriment as a result of raising a genuine concern about misconduct or malpractice within the setting.  However, the investigation process may require revealing the source of the information in order not to impede progress, and complainants should be made aware of this. They may also be required to come forward as a witness at some point.   </w:t>
      </w:r>
    </w:p>
    <w:p w:rsidR="00000000" w:rsidDel="00000000" w:rsidP="00000000" w:rsidRDefault="00000000" w:rsidRPr="00000000" w14:paraId="00000043">
      <w:pPr>
        <w:pageBreakBefore w:val="0"/>
        <w:widowControl w:val="0"/>
        <w:spacing w:line="276" w:lineRule="auto"/>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44">
      <w:pPr>
        <w:pageBreakBefore w:val="0"/>
        <w:widowControl w:val="0"/>
        <w:spacing w:line="276"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For clarity, the definitions of Confidentiality and Anonymity are:</w:t>
      </w:r>
    </w:p>
    <w:p w:rsidR="00000000" w:rsidDel="00000000" w:rsidP="00000000" w:rsidRDefault="00000000" w:rsidRPr="00000000" w14:paraId="00000045">
      <w:pPr>
        <w:pageBreakBefore w:val="0"/>
        <w:widowControl w:val="0"/>
        <w:spacing w:line="276" w:lineRule="auto"/>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46">
      <w:pPr>
        <w:widowControl w:val="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Confidentiality: We know who you are, but we will protect your identity from the subject of the concern and other staff. (This is what you aim for).</w:t>
      </w:r>
    </w:p>
    <w:p w:rsidR="00000000" w:rsidDel="00000000" w:rsidP="00000000" w:rsidRDefault="00000000" w:rsidRPr="00000000" w14:paraId="00000047">
      <w:pPr>
        <w:widowControl w:val="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Anonymity: We don't know who you are (an anonymous letter/email). (This is harder to investigate and protect the discloser</w:t>
      </w:r>
    </w:p>
    <w:p w:rsidR="00000000" w:rsidDel="00000000" w:rsidP="00000000" w:rsidRDefault="00000000" w:rsidRPr="00000000" w14:paraId="00000048">
      <w:pPr>
        <w:pageBreakBefore w:val="0"/>
        <w:widowControl w:val="0"/>
        <w:spacing w:line="276" w:lineRule="auto"/>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49">
      <w:pPr>
        <w:pageBreakBefore w:val="0"/>
        <w:widowControl w:val="0"/>
        <w:spacing w:line="276"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This policy encourages the person making the disclosure to put their name to any allegations they make. Concerns expressed anonymously are much less credible, but they may be considered at the discretion of the Senior Management Team.</w:t>
      </w:r>
    </w:p>
    <w:p w:rsidR="00000000" w:rsidDel="00000000" w:rsidP="00000000" w:rsidRDefault="00000000" w:rsidRPr="00000000" w14:paraId="0000004A">
      <w:pPr>
        <w:pageBreakBefore w:val="0"/>
        <w:widowControl w:val="0"/>
        <w:spacing w:line="276"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Staff must:</w:t>
      </w:r>
    </w:p>
    <w:p w:rsidR="00000000" w:rsidDel="00000000" w:rsidP="00000000" w:rsidRDefault="00000000" w:rsidRPr="00000000" w14:paraId="0000004B">
      <w:pPr>
        <w:pageBreakBefore w:val="0"/>
        <w:widowControl w:val="0"/>
        <w:numPr>
          <w:ilvl w:val="0"/>
          <w:numId w:val="5"/>
        </w:numPr>
        <w:spacing w:line="276" w:lineRule="auto"/>
        <w:ind w:left="720" w:hanging="36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disclose in good faith</w:t>
      </w:r>
    </w:p>
    <w:p w:rsidR="00000000" w:rsidDel="00000000" w:rsidP="00000000" w:rsidRDefault="00000000" w:rsidRPr="00000000" w14:paraId="0000004C">
      <w:pPr>
        <w:pageBreakBefore w:val="0"/>
        <w:widowControl w:val="0"/>
        <w:numPr>
          <w:ilvl w:val="0"/>
          <w:numId w:val="5"/>
        </w:numPr>
        <w:spacing w:line="276" w:lineRule="auto"/>
        <w:ind w:left="720" w:hanging="36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believe the allegation to be substantially true</w:t>
      </w:r>
    </w:p>
    <w:p w:rsidR="00000000" w:rsidDel="00000000" w:rsidP="00000000" w:rsidRDefault="00000000" w:rsidRPr="00000000" w14:paraId="0000004D">
      <w:pPr>
        <w:pageBreakBefore w:val="0"/>
        <w:widowControl w:val="0"/>
        <w:numPr>
          <w:ilvl w:val="0"/>
          <w:numId w:val="5"/>
        </w:numPr>
        <w:spacing w:line="276" w:lineRule="auto"/>
        <w:ind w:left="720" w:hanging="36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not act maliciously or make false allegations</w:t>
      </w:r>
    </w:p>
    <w:p w:rsidR="00000000" w:rsidDel="00000000" w:rsidP="00000000" w:rsidRDefault="00000000" w:rsidRPr="00000000" w14:paraId="0000004E">
      <w:pPr>
        <w:pageBreakBefore w:val="0"/>
        <w:widowControl w:val="0"/>
        <w:numPr>
          <w:ilvl w:val="0"/>
          <w:numId w:val="5"/>
        </w:numPr>
        <w:spacing w:line="276" w:lineRule="auto"/>
        <w:ind w:left="720" w:hanging="36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not seek any personal gain</w:t>
      </w:r>
    </w:p>
    <w:p w:rsidR="00000000" w:rsidDel="00000000" w:rsidP="00000000" w:rsidRDefault="00000000" w:rsidRPr="00000000" w14:paraId="0000004F">
      <w:pPr>
        <w:pageBreakBefore w:val="0"/>
        <w:widowControl w:val="0"/>
        <w:spacing w:line="276" w:lineRule="auto"/>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50">
      <w:pPr>
        <w:pageBreakBefore w:val="0"/>
        <w:widowControl w:val="0"/>
        <w:spacing w:line="276" w:lineRule="auto"/>
        <w:rPr>
          <w:rFonts w:ascii="Calibri" w:cs="Calibri" w:eastAsia="Calibri" w:hAnsi="Calibri"/>
          <w:sz w:val="24"/>
          <w:szCs w:val="24"/>
        </w:rPr>
      </w:pPr>
      <w:r w:rsidDel="00000000" w:rsidR="00000000" w:rsidRPr="00000000">
        <w:rPr>
          <w:rFonts w:ascii="Calibri" w:cs="Calibri" w:eastAsia="Calibri" w:hAnsi="Calibri"/>
          <w:sz w:val="24"/>
          <w:szCs w:val="24"/>
          <w:u w:val="single"/>
          <w:rtl w:val="0"/>
        </w:rPr>
        <w:t xml:space="preserve">Independent Reporting Route</w:t>
      </w:r>
      <w:r w:rsidDel="00000000" w:rsidR="00000000" w:rsidRPr="00000000">
        <w:rPr>
          <w:rFonts w:ascii="Calibri" w:cs="Calibri" w:eastAsia="Calibri" w:hAnsi="Calibri"/>
          <w:sz w:val="24"/>
          <w:szCs w:val="24"/>
          <w:rtl w:val="0"/>
        </w:rPr>
        <w:t xml:space="preserve"> </w:t>
      </w:r>
    </w:p>
    <w:p w:rsidR="00000000" w:rsidDel="00000000" w:rsidP="00000000" w:rsidRDefault="00000000" w:rsidRPr="00000000" w14:paraId="00000051">
      <w:pPr>
        <w:widowControl w:val="0"/>
        <w:spacing w:after="240" w:before="240"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To ensure all employees feel confident that their concerns will be heard and investigated impartially, particularly if the disclosure involves the Senior Management Team (SMT), a designated independent person has been appointed.</w:t>
      </w:r>
    </w:p>
    <w:p w:rsidR="00000000" w:rsidDel="00000000" w:rsidP="00000000" w:rsidRDefault="00000000" w:rsidRPr="00000000" w14:paraId="00000052">
      <w:pPr>
        <w:widowControl w:val="0"/>
        <w:spacing w:after="240" w:before="240" w:lineRule="auto"/>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53">
      <w:pPr>
        <w:pStyle w:val="Heading3"/>
        <w:keepNext w:val="0"/>
        <w:keepLines w:val="0"/>
        <w:widowControl w:val="0"/>
        <w:spacing w:before="280" w:lineRule="auto"/>
        <w:rPr>
          <w:rFonts w:ascii="Calibri" w:cs="Calibri" w:eastAsia="Calibri" w:hAnsi="Calibri"/>
          <w:color w:val="000000"/>
          <w:sz w:val="26"/>
          <w:szCs w:val="26"/>
        </w:rPr>
      </w:pPr>
      <w:bookmarkStart w:colFirst="0" w:colLast="0" w:name="_f598h0rbxwq4" w:id="0"/>
      <w:bookmarkEnd w:id="0"/>
      <w:r w:rsidDel="00000000" w:rsidR="00000000" w:rsidRPr="00000000">
        <w:rPr>
          <w:rFonts w:ascii="Calibri" w:cs="Calibri" w:eastAsia="Calibri" w:hAnsi="Calibri"/>
          <w:color w:val="000000"/>
          <w:sz w:val="26"/>
          <w:szCs w:val="26"/>
          <w:rtl w:val="0"/>
        </w:rPr>
        <w:t xml:space="preserve">1. Independent Nominated Officer</w:t>
      </w:r>
    </w:p>
    <w:p w:rsidR="00000000" w:rsidDel="00000000" w:rsidP="00000000" w:rsidRDefault="00000000" w:rsidRPr="00000000" w14:paraId="00000054">
      <w:pPr>
        <w:widowControl w:val="0"/>
        <w:spacing w:after="240" w:before="240"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The Chairperson of the Board (or a designated independent Trustee) serves as the ultimate internal escalation point, hereafter referred to as the "Independent Nominated Officer."</w:t>
      </w:r>
    </w:p>
    <w:p w:rsidR="00000000" w:rsidDel="00000000" w:rsidP="00000000" w:rsidRDefault="00000000" w:rsidRPr="00000000" w14:paraId="00000055">
      <w:pPr>
        <w:widowControl w:val="0"/>
        <w:numPr>
          <w:ilvl w:val="0"/>
          <w:numId w:val="2"/>
        </w:numPr>
        <w:spacing w:after="0" w:afterAutospacing="0" w:before="240" w:lineRule="auto"/>
        <w:ind w:left="720" w:hanging="360"/>
        <w:rPr>
          <w:sz w:val="24"/>
          <w:szCs w:val="24"/>
        </w:rPr>
      </w:pPr>
      <w:r w:rsidDel="00000000" w:rsidR="00000000" w:rsidRPr="00000000">
        <w:rPr>
          <w:rFonts w:ascii="Calibri" w:cs="Calibri" w:eastAsia="Calibri" w:hAnsi="Calibri"/>
          <w:sz w:val="24"/>
          <w:szCs w:val="24"/>
          <w:rtl w:val="0"/>
        </w:rPr>
        <w:t xml:space="preserve">When to Contact: If a member of staff feels that their concern cannot, for whatever reason, be discussed with or appropriately resolved by the Nursery Head, Practice Lead, or the entire SMT, they have the right to raise the matter directly with the Independent Nominated Officer.</w:t>
      </w:r>
    </w:p>
    <w:p w:rsidR="00000000" w:rsidDel="00000000" w:rsidP="00000000" w:rsidRDefault="00000000" w:rsidRPr="00000000" w14:paraId="00000056">
      <w:pPr>
        <w:widowControl w:val="0"/>
        <w:numPr>
          <w:ilvl w:val="0"/>
          <w:numId w:val="2"/>
        </w:numPr>
        <w:spacing w:after="240" w:before="0" w:beforeAutospacing="0" w:lineRule="auto"/>
        <w:ind w:left="720" w:hanging="360"/>
        <w:rPr>
          <w:sz w:val="24"/>
          <w:szCs w:val="24"/>
        </w:rPr>
      </w:pPr>
      <w:r w:rsidDel="00000000" w:rsidR="00000000" w:rsidRPr="00000000">
        <w:rPr>
          <w:rFonts w:ascii="Calibri" w:cs="Calibri" w:eastAsia="Calibri" w:hAnsi="Calibri"/>
          <w:sz w:val="24"/>
          <w:szCs w:val="24"/>
          <w:rtl w:val="0"/>
        </w:rPr>
        <w:t xml:space="preserve">Role: The Independent Nominated Officer's role is to receive and acknowledge the disclosure, determine the most appropriate independent person to lead the investigation (which may be an external investigator), and oversee the investigation process to ensure fairness and compliance with this policy.</w:t>
      </w:r>
    </w:p>
    <w:p w:rsidR="00000000" w:rsidDel="00000000" w:rsidP="00000000" w:rsidRDefault="00000000" w:rsidRPr="00000000" w14:paraId="00000057">
      <w:pPr>
        <w:pStyle w:val="Heading3"/>
        <w:keepNext w:val="0"/>
        <w:keepLines w:val="0"/>
        <w:widowControl w:val="0"/>
        <w:spacing w:before="280" w:lineRule="auto"/>
        <w:rPr>
          <w:rFonts w:ascii="Calibri" w:cs="Calibri" w:eastAsia="Calibri" w:hAnsi="Calibri"/>
          <w:color w:val="000000"/>
          <w:sz w:val="26"/>
          <w:szCs w:val="26"/>
        </w:rPr>
      </w:pPr>
      <w:bookmarkStart w:colFirst="0" w:colLast="0" w:name="_ib9167f2lohm" w:id="1"/>
      <w:bookmarkEnd w:id="1"/>
      <w:r w:rsidDel="00000000" w:rsidR="00000000" w:rsidRPr="00000000">
        <w:rPr>
          <w:rFonts w:ascii="Calibri" w:cs="Calibri" w:eastAsia="Calibri" w:hAnsi="Calibri"/>
          <w:color w:val="000000"/>
          <w:sz w:val="26"/>
          <w:szCs w:val="26"/>
          <w:rtl w:val="0"/>
        </w:rPr>
        <w:t xml:space="preserve">2. Seeking External Advice</w:t>
      </w:r>
    </w:p>
    <w:p w:rsidR="00000000" w:rsidDel="00000000" w:rsidP="00000000" w:rsidRDefault="00000000" w:rsidRPr="00000000" w14:paraId="00000058">
      <w:pPr>
        <w:widowControl w:val="0"/>
        <w:spacing w:after="240" w:before="240"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Stramash recognises that staff may wish to seek advice and support outside the organisation. You are encouraged to contact:</w:t>
      </w:r>
    </w:p>
    <w:p w:rsidR="00000000" w:rsidDel="00000000" w:rsidP="00000000" w:rsidRDefault="00000000" w:rsidRPr="00000000" w14:paraId="00000059">
      <w:pPr>
        <w:widowControl w:val="0"/>
        <w:numPr>
          <w:ilvl w:val="0"/>
          <w:numId w:val="9"/>
        </w:numPr>
        <w:spacing w:after="0" w:afterAutospacing="0" w:before="240" w:lineRule="auto"/>
        <w:ind w:left="720" w:hanging="360"/>
        <w:rPr>
          <w:sz w:val="24"/>
          <w:szCs w:val="24"/>
        </w:rPr>
      </w:pPr>
      <w:r w:rsidDel="00000000" w:rsidR="00000000" w:rsidRPr="00000000">
        <w:rPr>
          <w:rFonts w:ascii="Calibri" w:cs="Calibri" w:eastAsia="Calibri" w:hAnsi="Calibri"/>
          <w:sz w:val="24"/>
          <w:szCs w:val="24"/>
          <w:rtl w:val="0"/>
        </w:rPr>
        <w:t xml:space="preserve">Trade Union: For advice and representation.</w:t>
      </w:r>
    </w:p>
    <w:p w:rsidR="00000000" w:rsidDel="00000000" w:rsidP="00000000" w:rsidRDefault="00000000" w:rsidRPr="00000000" w14:paraId="0000005A">
      <w:pPr>
        <w:widowControl w:val="0"/>
        <w:numPr>
          <w:ilvl w:val="0"/>
          <w:numId w:val="9"/>
        </w:numPr>
        <w:spacing w:after="240" w:before="0" w:beforeAutospacing="0" w:lineRule="auto"/>
        <w:ind w:left="720" w:hanging="360"/>
        <w:rPr>
          <w:sz w:val="24"/>
          <w:szCs w:val="24"/>
        </w:rPr>
      </w:pPr>
      <w:r w:rsidDel="00000000" w:rsidR="00000000" w:rsidRPr="00000000">
        <w:rPr>
          <w:rFonts w:ascii="Calibri" w:cs="Calibri" w:eastAsia="Calibri" w:hAnsi="Calibri"/>
          <w:sz w:val="24"/>
          <w:szCs w:val="24"/>
          <w:rtl w:val="0"/>
        </w:rPr>
        <w:t xml:space="preserve">Protect (The UK Whistleblowing Charity): For free, confidential, and independent legal advice on how to raise a concern and qualify for protection under the Public Interest Disclosure Act (PIDA).</w:t>
      </w:r>
    </w:p>
    <w:p w:rsidR="00000000" w:rsidDel="00000000" w:rsidP="00000000" w:rsidRDefault="00000000" w:rsidRPr="00000000" w14:paraId="0000005B">
      <w:pPr>
        <w:pStyle w:val="Heading3"/>
        <w:keepNext w:val="0"/>
        <w:keepLines w:val="0"/>
        <w:widowControl w:val="0"/>
        <w:spacing w:before="280" w:lineRule="auto"/>
        <w:rPr>
          <w:rFonts w:ascii="Calibri" w:cs="Calibri" w:eastAsia="Calibri" w:hAnsi="Calibri"/>
          <w:color w:val="000000"/>
          <w:sz w:val="26"/>
          <w:szCs w:val="26"/>
        </w:rPr>
      </w:pPr>
      <w:bookmarkStart w:colFirst="0" w:colLast="0" w:name="_bof32roswrdv" w:id="2"/>
      <w:bookmarkEnd w:id="2"/>
      <w:r w:rsidDel="00000000" w:rsidR="00000000" w:rsidRPr="00000000">
        <w:rPr>
          <w:rFonts w:ascii="Calibri" w:cs="Calibri" w:eastAsia="Calibri" w:hAnsi="Calibri"/>
          <w:color w:val="000000"/>
          <w:sz w:val="26"/>
          <w:szCs w:val="26"/>
          <w:rtl w:val="0"/>
        </w:rPr>
        <w:t xml:space="preserve">3. Confidentiality of Identity</w:t>
      </w:r>
    </w:p>
    <w:p w:rsidR="00000000" w:rsidDel="00000000" w:rsidP="00000000" w:rsidRDefault="00000000" w:rsidRPr="00000000" w14:paraId="0000005C">
      <w:pPr>
        <w:widowControl w:val="0"/>
        <w:spacing w:after="240" w:before="240"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Stramash is committed to protecting the identity of the discloser and will maintain confidentiality wherever possible. We encourage you to put your name to your disclosure, as concerns expressed anonymously are harder to investigate effectively. </w:t>
      </w:r>
    </w:p>
    <w:p w:rsidR="00000000" w:rsidDel="00000000" w:rsidP="00000000" w:rsidRDefault="00000000" w:rsidRPr="00000000" w14:paraId="0000005D">
      <w:pPr>
        <w:widowControl w:val="0"/>
        <w:spacing w:after="240" w:before="240"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If you disclose confidentially, your identity will not be revealed to the person(s) subject to the allegation without your express permission, unless required by law (e.g., in a criminal investigation) or where the investigation cannot proceed without revealing the source (which will be discussed with you first).</w:t>
      </w:r>
    </w:p>
    <w:p w:rsidR="00000000" w:rsidDel="00000000" w:rsidP="00000000" w:rsidRDefault="00000000" w:rsidRPr="00000000" w14:paraId="0000005E">
      <w:pPr>
        <w:widowControl w:val="0"/>
        <w:spacing w:after="240" w:before="240" w:lineRule="auto"/>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5F">
      <w:pPr>
        <w:pageBreakBefore w:val="0"/>
        <w:widowControl w:val="0"/>
        <w:spacing w:line="276" w:lineRule="auto"/>
        <w:rPr>
          <w:rFonts w:ascii="Calibri" w:cs="Calibri" w:eastAsia="Calibri" w:hAnsi="Calibri"/>
          <w:sz w:val="24"/>
          <w:szCs w:val="24"/>
          <w:u w:val="single"/>
        </w:rPr>
      </w:pPr>
      <w:r w:rsidDel="00000000" w:rsidR="00000000" w:rsidRPr="00000000">
        <w:rPr>
          <w:rFonts w:ascii="Calibri" w:cs="Calibri" w:eastAsia="Calibri" w:hAnsi="Calibri"/>
          <w:sz w:val="24"/>
          <w:szCs w:val="24"/>
          <w:u w:val="single"/>
          <w:rtl w:val="0"/>
        </w:rPr>
        <w:t xml:space="preserve">Untrue Allegations</w:t>
      </w:r>
    </w:p>
    <w:p w:rsidR="00000000" w:rsidDel="00000000" w:rsidP="00000000" w:rsidRDefault="00000000" w:rsidRPr="00000000" w14:paraId="00000060">
      <w:pPr>
        <w:pageBreakBefore w:val="0"/>
        <w:widowControl w:val="0"/>
        <w:spacing w:line="276"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If an individual makes an allegation in good faith which is not confirmed by subsequent investigation, no action will be taken against them.  In making a disclosure the individual should exercise due care to ensure the accuracy of the information. If however an individual makes malicious or vexatious allegations, then disciplinary action may be taken against them.</w:t>
      </w:r>
    </w:p>
    <w:p w:rsidR="00000000" w:rsidDel="00000000" w:rsidP="00000000" w:rsidRDefault="00000000" w:rsidRPr="00000000" w14:paraId="00000061">
      <w:pPr>
        <w:pageBreakBefore w:val="0"/>
        <w:widowControl w:val="0"/>
        <w:spacing w:line="276" w:lineRule="auto"/>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62">
      <w:pPr>
        <w:pageBreakBefore w:val="0"/>
        <w:widowControl w:val="0"/>
        <w:spacing w:line="276" w:lineRule="auto"/>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63">
      <w:pPr>
        <w:pageBreakBefore w:val="0"/>
        <w:widowControl w:val="0"/>
        <w:spacing w:line="276" w:lineRule="auto"/>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64">
      <w:pPr>
        <w:pageBreakBefore w:val="0"/>
        <w:widowControl w:val="0"/>
        <w:spacing w:line="276" w:lineRule="auto"/>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65">
      <w:pPr>
        <w:pageBreakBefore w:val="0"/>
        <w:widowControl w:val="0"/>
        <w:spacing w:line="276" w:lineRule="auto"/>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66">
      <w:pPr>
        <w:pageBreakBefore w:val="0"/>
        <w:widowControl w:val="0"/>
        <w:spacing w:line="276" w:lineRule="auto"/>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67">
      <w:pPr>
        <w:pageBreakBefore w:val="0"/>
        <w:widowControl w:val="0"/>
        <w:spacing w:line="276" w:lineRule="auto"/>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68">
      <w:pPr>
        <w:pageBreakBefore w:val="0"/>
        <w:widowControl w:val="0"/>
        <w:spacing w:line="276" w:lineRule="auto"/>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69">
      <w:pPr>
        <w:pageBreakBefore w:val="0"/>
        <w:widowControl w:val="0"/>
        <w:spacing w:line="276" w:lineRule="auto"/>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6A">
      <w:pPr>
        <w:pageBreakBefore w:val="0"/>
        <w:widowControl w:val="0"/>
        <w:spacing w:line="276" w:lineRule="auto"/>
        <w:rPr>
          <w:rFonts w:ascii="Calibri" w:cs="Calibri" w:eastAsia="Calibri" w:hAnsi="Calibri"/>
          <w:b w:val="1"/>
          <w:bCs w:val="1"/>
          <w:sz w:val="24"/>
          <w:szCs w:val="24"/>
        </w:rPr>
      </w:pPr>
      <w:r w:rsidDel="00000000" w:rsidR="00000000" w:rsidRPr="00000000">
        <w:rPr>
          <w:rFonts w:ascii="Calibri" w:cs="Calibri" w:eastAsia="Calibri" w:hAnsi="Calibri"/>
          <w:b w:val="1"/>
          <w:bCs w:val="1"/>
          <w:sz w:val="24"/>
          <w:szCs w:val="24"/>
          <w:rtl w:val="0"/>
        </w:rPr>
        <w:t xml:space="preserve">Appendix A</w:t>
      </w:r>
    </w:p>
    <w:p w:rsidR="00000000" w:rsidDel="00000000" w:rsidP="00000000" w:rsidRDefault="00000000" w:rsidRPr="00000000" w14:paraId="0000006B">
      <w:pPr>
        <w:pageBreakBefore w:val="0"/>
        <w:widowControl w:val="0"/>
        <w:spacing w:line="276" w:lineRule="auto"/>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6C">
      <w:pPr>
        <w:pStyle w:val="Heading2"/>
        <w:keepNext w:val="0"/>
        <w:keepLines w:val="0"/>
        <w:widowControl w:val="0"/>
        <w:spacing w:after="80" w:lineRule="auto"/>
        <w:rPr>
          <w:rFonts w:ascii="Calibri" w:cs="Calibri" w:eastAsia="Calibri" w:hAnsi="Calibri"/>
          <w:b w:val="1"/>
          <w:bCs w:val="1"/>
          <w:sz w:val="34"/>
          <w:szCs w:val="34"/>
        </w:rPr>
      </w:pPr>
      <w:bookmarkStart w:colFirst="0" w:colLast="0" w:name="_dbmd9fgnwb0z" w:id="3"/>
      <w:bookmarkEnd w:id="3"/>
      <w:r w:rsidDel="00000000" w:rsidR="00000000" w:rsidRPr="00000000">
        <w:rPr>
          <w:rFonts w:ascii="Calibri" w:cs="Calibri" w:eastAsia="Calibri" w:hAnsi="Calibri"/>
          <w:b w:val="1"/>
          <w:bCs w:val="1"/>
          <w:sz w:val="34"/>
          <w:szCs w:val="34"/>
          <w:rtl w:val="0"/>
        </w:rPr>
        <w:t xml:space="preserve">Key Bodies on the Prescribed Persons List</w:t>
      </w:r>
    </w:p>
    <w:p w:rsidR="00000000" w:rsidDel="00000000" w:rsidP="00000000" w:rsidRDefault="00000000" w:rsidRPr="00000000" w14:paraId="0000006D">
      <w:pPr>
        <w:pStyle w:val="Heading3"/>
        <w:keepNext w:val="0"/>
        <w:keepLines w:val="0"/>
        <w:widowControl w:val="0"/>
        <w:spacing w:before="280" w:lineRule="auto"/>
        <w:rPr>
          <w:rFonts w:ascii="Calibri" w:cs="Calibri" w:eastAsia="Calibri" w:hAnsi="Calibri"/>
          <w:b w:val="1"/>
          <w:bCs w:val="1"/>
          <w:color w:val="000000"/>
          <w:sz w:val="26"/>
          <w:szCs w:val="26"/>
        </w:rPr>
      </w:pPr>
      <w:bookmarkStart w:colFirst="0" w:colLast="0" w:name="_9psi39xg8m56" w:id="4"/>
      <w:bookmarkEnd w:id="4"/>
      <w:r w:rsidDel="00000000" w:rsidR="00000000" w:rsidRPr="00000000">
        <w:rPr>
          <w:rFonts w:ascii="Calibri" w:cs="Calibri" w:eastAsia="Calibri" w:hAnsi="Calibri"/>
          <w:b w:val="1"/>
          <w:bCs w:val="1"/>
          <w:color w:val="000000"/>
          <w:sz w:val="26"/>
          <w:szCs w:val="26"/>
          <w:rtl w:val="0"/>
        </w:rPr>
        <w:t xml:space="preserve">Financial and Corporate Regulation</w:t>
      </w:r>
    </w:p>
    <w:p w:rsidR="00000000" w:rsidDel="00000000" w:rsidP="00000000" w:rsidRDefault="00000000" w:rsidRPr="00000000" w14:paraId="0000006E">
      <w:pPr>
        <w:widowControl w:val="0"/>
        <w:numPr>
          <w:ilvl w:val="0"/>
          <w:numId w:val="6"/>
        </w:numPr>
        <w:spacing w:after="0" w:afterAutospacing="0" w:before="240" w:lineRule="auto"/>
        <w:ind w:left="720" w:hanging="360"/>
        <w:rPr>
          <w:sz w:val="24"/>
          <w:szCs w:val="24"/>
        </w:rPr>
      </w:pPr>
      <w:r w:rsidDel="00000000" w:rsidR="00000000" w:rsidRPr="00000000">
        <w:rPr>
          <w:rFonts w:ascii="Calibri" w:cs="Calibri" w:eastAsia="Calibri" w:hAnsi="Calibri"/>
          <w:b w:val="1"/>
          <w:bCs w:val="1"/>
          <w:sz w:val="24"/>
          <w:szCs w:val="24"/>
          <w:rtl w:val="0"/>
        </w:rPr>
        <w:t xml:space="preserve">Financial Conduct Authority (FCA):</w:t>
      </w:r>
      <w:r w:rsidDel="00000000" w:rsidR="00000000" w:rsidRPr="00000000">
        <w:rPr>
          <w:rFonts w:ascii="Calibri" w:cs="Calibri" w:eastAsia="Calibri" w:hAnsi="Calibri"/>
          <w:sz w:val="24"/>
          <w:szCs w:val="24"/>
          <w:rtl w:val="0"/>
        </w:rPr>
        <w:t xml:space="preserve"> Matters relating to financial services and markets (e.g., banking, investment, insurance).</w:t>
      </w:r>
    </w:p>
    <w:p w:rsidR="00000000" w:rsidDel="00000000" w:rsidP="00000000" w:rsidRDefault="00000000" w:rsidRPr="00000000" w14:paraId="0000006F">
      <w:pPr>
        <w:widowControl w:val="0"/>
        <w:numPr>
          <w:ilvl w:val="0"/>
          <w:numId w:val="6"/>
        </w:numPr>
        <w:spacing w:after="0" w:afterAutospacing="0" w:before="0" w:beforeAutospacing="0" w:lineRule="auto"/>
        <w:ind w:left="720" w:hanging="360"/>
        <w:rPr>
          <w:sz w:val="24"/>
          <w:szCs w:val="24"/>
        </w:rPr>
      </w:pPr>
      <w:r w:rsidDel="00000000" w:rsidR="00000000" w:rsidRPr="00000000">
        <w:rPr>
          <w:rFonts w:ascii="Calibri" w:cs="Calibri" w:eastAsia="Calibri" w:hAnsi="Calibri"/>
          <w:b w:val="1"/>
          <w:bCs w:val="1"/>
          <w:sz w:val="24"/>
          <w:szCs w:val="24"/>
          <w:rtl w:val="0"/>
        </w:rPr>
        <w:t xml:space="preserve">Prudential Regulation Authority (PRA) / Bank of England:</w:t>
      </w:r>
      <w:r w:rsidDel="00000000" w:rsidR="00000000" w:rsidRPr="00000000">
        <w:rPr>
          <w:rFonts w:ascii="Calibri" w:cs="Calibri" w:eastAsia="Calibri" w:hAnsi="Calibri"/>
          <w:sz w:val="24"/>
          <w:szCs w:val="24"/>
          <w:rtl w:val="0"/>
        </w:rPr>
        <w:t xml:space="preserve"> Matters relating to the safety and soundness of banks and insurers.</w:t>
      </w:r>
    </w:p>
    <w:p w:rsidR="00000000" w:rsidDel="00000000" w:rsidP="00000000" w:rsidRDefault="00000000" w:rsidRPr="00000000" w14:paraId="00000070">
      <w:pPr>
        <w:widowControl w:val="0"/>
        <w:numPr>
          <w:ilvl w:val="0"/>
          <w:numId w:val="6"/>
        </w:numPr>
        <w:spacing w:after="0" w:afterAutospacing="0" w:before="0" w:beforeAutospacing="0" w:lineRule="auto"/>
        <w:ind w:left="720" w:hanging="360"/>
        <w:rPr>
          <w:sz w:val="24"/>
          <w:szCs w:val="24"/>
        </w:rPr>
      </w:pPr>
      <w:r w:rsidDel="00000000" w:rsidR="00000000" w:rsidRPr="00000000">
        <w:rPr>
          <w:rFonts w:ascii="Calibri" w:cs="Calibri" w:eastAsia="Calibri" w:hAnsi="Calibri"/>
          <w:b w:val="1"/>
          <w:bCs w:val="1"/>
          <w:sz w:val="24"/>
          <w:szCs w:val="24"/>
          <w:rtl w:val="0"/>
        </w:rPr>
        <w:t xml:space="preserve">HM Treasury:</w:t>
      </w:r>
      <w:r w:rsidDel="00000000" w:rsidR="00000000" w:rsidRPr="00000000">
        <w:rPr>
          <w:rFonts w:ascii="Calibri" w:cs="Calibri" w:eastAsia="Calibri" w:hAnsi="Calibri"/>
          <w:sz w:val="24"/>
          <w:szCs w:val="24"/>
          <w:rtl w:val="0"/>
        </w:rPr>
        <w:t xml:space="preserve"> Specifically for disclosures relating to suspected breaches of </w:t>
      </w:r>
      <w:r w:rsidDel="00000000" w:rsidR="00000000" w:rsidRPr="00000000">
        <w:rPr>
          <w:rFonts w:ascii="Calibri" w:cs="Calibri" w:eastAsia="Calibri" w:hAnsi="Calibri"/>
          <w:b w:val="1"/>
          <w:bCs w:val="1"/>
          <w:sz w:val="24"/>
          <w:szCs w:val="24"/>
          <w:rtl w:val="0"/>
        </w:rPr>
        <w:t xml:space="preserve">UK financial sanctions</w:t>
      </w:r>
      <w:r w:rsidDel="00000000" w:rsidR="00000000" w:rsidRPr="00000000">
        <w:rPr>
          <w:rFonts w:ascii="Calibri" w:cs="Calibri" w:eastAsia="Calibri" w:hAnsi="Calibri"/>
          <w:sz w:val="24"/>
          <w:szCs w:val="24"/>
          <w:rtl w:val="0"/>
        </w:rPr>
        <w:t xml:space="preserve">.</w:t>
      </w:r>
    </w:p>
    <w:p w:rsidR="00000000" w:rsidDel="00000000" w:rsidP="00000000" w:rsidRDefault="00000000" w:rsidRPr="00000000" w14:paraId="00000071">
      <w:pPr>
        <w:widowControl w:val="0"/>
        <w:numPr>
          <w:ilvl w:val="0"/>
          <w:numId w:val="6"/>
        </w:numPr>
        <w:spacing w:after="0" w:afterAutospacing="0" w:before="0" w:beforeAutospacing="0" w:lineRule="auto"/>
        <w:ind w:left="720" w:hanging="360"/>
        <w:rPr>
          <w:sz w:val="24"/>
          <w:szCs w:val="24"/>
        </w:rPr>
      </w:pPr>
      <w:r w:rsidDel="00000000" w:rsidR="00000000" w:rsidRPr="00000000">
        <w:rPr>
          <w:rFonts w:ascii="Calibri" w:cs="Calibri" w:eastAsia="Calibri" w:hAnsi="Calibri"/>
          <w:b w:val="1"/>
          <w:bCs w:val="1"/>
          <w:sz w:val="24"/>
          <w:szCs w:val="24"/>
          <w:rtl w:val="0"/>
        </w:rPr>
        <w:t xml:space="preserve">Insolvency Service:</w:t>
      </w:r>
      <w:r w:rsidDel="00000000" w:rsidR="00000000" w:rsidRPr="00000000">
        <w:rPr>
          <w:rFonts w:ascii="Calibri" w:cs="Calibri" w:eastAsia="Calibri" w:hAnsi="Calibri"/>
          <w:sz w:val="24"/>
          <w:szCs w:val="24"/>
          <w:rtl w:val="0"/>
        </w:rPr>
        <w:t xml:space="preserve"> Matters relating to the conduct of directors and company insolvencies.</w:t>
      </w:r>
    </w:p>
    <w:p w:rsidR="00000000" w:rsidDel="00000000" w:rsidP="00000000" w:rsidRDefault="00000000" w:rsidRPr="00000000" w14:paraId="00000072">
      <w:pPr>
        <w:widowControl w:val="0"/>
        <w:numPr>
          <w:ilvl w:val="0"/>
          <w:numId w:val="6"/>
        </w:numPr>
        <w:spacing w:after="0" w:afterAutospacing="0" w:before="0" w:beforeAutospacing="0" w:lineRule="auto"/>
        <w:ind w:left="720" w:hanging="360"/>
        <w:rPr>
          <w:sz w:val="24"/>
          <w:szCs w:val="24"/>
        </w:rPr>
      </w:pPr>
      <w:r w:rsidDel="00000000" w:rsidR="00000000" w:rsidRPr="00000000">
        <w:rPr>
          <w:rFonts w:ascii="Calibri" w:cs="Calibri" w:eastAsia="Calibri" w:hAnsi="Calibri"/>
          <w:b w:val="1"/>
          <w:bCs w:val="1"/>
          <w:sz w:val="24"/>
          <w:szCs w:val="24"/>
          <w:rtl w:val="0"/>
        </w:rPr>
        <w:t xml:space="preserve">Financial Reporting Council (FRC):</w:t>
      </w:r>
      <w:r w:rsidDel="00000000" w:rsidR="00000000" w:rsidRPr="00000000">
        <w:rPr>
          <w:rFonts w:ascii="Calibri" w:cs="Calibri" w:eastAsia="Calibri" w:hAnsi="Calibri"/>
          <w:sz w:val="24"/>
          <w:szCs w:val="24"/>
          <w:rtl w:val="0"/>
        </w:rPr>
        <w:t xml:space="preserve"> Matters relating to accounting, auditing, and actuarial standards.</w:t>
      </w:r>
    </w:p>
    <w:p w:rsidR="00000000" w:rsidDel="00000000" w:rsidP="00000000" w:rsidRDefault="00000000" w:rsidRPr="00000000" w14:paraId="00000073">
      <w:pPr>
        <w:widowControl w:val="0"/>
        <w:numPr>
          <w:ilvl w:val="0"/>
          <w:numId w:val="6"/>
        </w:numPr>
        <w:spacing w:after="240" w:before="0" w:beforeAutospacing="0" w:lineRule="auto"/>
        <w:ind w:left="720" w:hanging="360"/>
        <w:rPr>
          <w:sz w:val="24"/>
          <w:szCs w:val="24"/>
        </w:rPr>
      </w:pPr>
      <w:r w:rsidDel="00000000" w:rsidR="00000000" w:rsidRPr="00000000">
        <w:rPr>
          <w:rFonts w:ascii="Calibri" w:cs="Calibri" w:eastAsia="Calibri" w:hAnsi="Calibri"/>
          <w:b w:val="1"/>
          <w:bCs w:val="1"/>
          <w:sz w:val="24"/>
          <w:szCs w:val="24"/>
          <w:rtl w:val="0"/>
        </w:rPr>
        <w:t xml:space="preserve">HMRC (HM Revenue and Customs):</w:t>
      </w:r>
      <w:r w:rsidDel="00000000" w:rsidR="00000000" w:rsidRPr="00000000">
        <w:rPr>
          <w:rFonts w:ascii="Calibri" w:cs="Calibri" w:eastAsia="Calibri" w:hAnsi="Calibri"/>
          <w:sz w:val="24"/>
          <w:szCs w:val="24"/>
          <w:rtl w:val="0"/>
        </w:rPr>
        <w:t xml:space="preserve"> Matters relating to tax and revenue (e.g., tax evasion).</w:t>
      </w:r>
    </w:p>
    <w:p w:rsidR="00000000" w:rsidDel="00000000" w:rsidP="00000000" w:rsidRDefault="00000000" w:rsidRPr="00000000" w14:paraId="00000074">
      <w:pPr>
        <w:pStyle w:val="Heading3"/>
        <w:keepNext w:val="0"/>
        <w:keepLines w:val="0"/>
        <w:widowControl w:val="0"/>
        <w:spacing w:before="280" w:lineRule="auto"/>
        <w:rPr>
          <w:rFonts w:ascii="Calibri" w:cs="Calibri" w:eastAsia="Calibri" w:hAnsi="Calibri"/>
          <w:b w:val="1"/>
          <w:bCs w:val="1"/>
          <w:color w:val="000000"/>
          <w:sz w:val="26"/>
          <w:szCs w:val="26"/>
        </w:rPr>
      </w:pPr>
      <w:bookmarkStart w:colFirst="0" w:colLast="0" w:name="_hzknlhqaa5wc" w:id="5"/>
      <w:bookmarkEnd w:id="5"/>
      <w:r w:rsidDel="00000000" w:rsidR="00000000" w:rsidRPr="00000000">
        <w:rPr>
          <w:rFonts w:ascii="Calibri" w:cs="Calibri" w:eastAsia="Calibri" w:hAnsi="Calibri"/>
          <w:b w:val="1"/>
          <w:bCs w:val="1"/>
          <w:color w:val="000000"/>
          <w:sz w:val="26"/>
          <w:szCs w:val="26"/>
          <w:rtl w:val="0"/>
        </w:rPr>
        <w:t xml:space="preserve">Health, Social Care, and Safety (Highly Relevant to Stramash)</w:t>
      </w:r>
    </w:p>
    <w:p w:rsidR="00000000" w:rsidDel="00000000" w:rsidP="00000000" w:rsidRDefault="00000000" w:rsidRPr="00000000" w14:paraId="00000075">
      <w:pPr>
        <w:widowControl w:val="0"/>
        <w:numPr>
          <w:ilvl w:val="0"/>
          <w:numId w:val="3"/>
        </w:numPr>
        <w:spacing w:after="0" w:afterAutospacing="0" w:before="240" w:lineRule="auto"/>
        <w:ind w:left="720" w:hanging="360"/>
        <w:rPr>
          <w:sz w:val="24"/>
          <w:szCs w:val="24"/>
        </w:rPr>
      </w:pPr>
      <w:r w:rsidDel="00000000" w:rsidR="00000000" w:rsidRPr="00000000">
        <w:rPr>
          <w:rFonts w:ascii="Calibri" w:cs="Calibri" w:eastAsia="Calibri" w:hAnsi="Calibri"/>
          <w:b w:val="1"/>
          <w:bCs w:val="1"/>
          <w:sz w:val="24"/>
          <w:szCs w:val="24"/>
          <w:rtl w:val="0"/>
        </w:rPr>
        <w:t xml:space="preserve">Care Inspectorate (Scotland):</w:t>
      </w:r>
      <w:r w:rsidDel="00000000" w:rsidR="00000000" w:rsidRPr="00000000">
        <w:rPr>
          <w:rFonts w:ascii="Calibri" w:cs="Calibri" w:eastAsia="Calibri" w:hAnsi="Calibri"/>
          <w:sz w:val="24"/>
          <w:szCs w:val="24"/>
          <w:rtl w:val="0"/>
        </w:rPr>
        <w:t xml:space="preserve"> Matters relating to the regulation and inspection of care services.</w:t>
      </w:r>
    </w:p>
    <w:p w:rsidR="00000000" w:rsidDel="00000000" w:rsidP="00000000" w:rsidRDefault="00000000" w:rsidRPr="00000000" w14:paraId="00000076">
      <w:pPr>
        <w:widowControl w:val="0"/>
        <w:numPr>
          <w:ilvl w:val="0"/>
          <w:numId w:val="3"/>
        </w:numPr>
        <w:spacing w:after="0" w:afterAutospacing="0" w:before="0" w:beforeAutospacing="0" w:lineRule="auto"/>
        <w:ind w:left="720" w:hanging="360"/>
        <w:rPr>
          <w:sz w:val="24"/>
          <w:szCs w:val="24"/>
        </w:rPr>
      </w:pPr>
      <w:r w:rsidDel="00000000" w:rsidR="00000000" w:rsidRPr="00000000">
        <w:rPr>
          <w:rFonts w:ascii="Calibri" w:cs="Calibri" w:eastAsia="Calibri" w:hAnsi="Calibri"/>
          <w:b w:val="1"/>
          <w:bCs w:val="1"/>
          <w:sz w:val="24"/>
          <w:szCs w:val="24"/>
          <w:rtl w:val="0"/>
        </w:rPr>
        <w:t xml:space="preserve">Health and Safety Executive (HSE):</w:t>
      </w:r>
      <w:r w:rsidDel="00000000" w:rsidR="00000000" w:rsidRPr="00000000">
        <w:rPr>
          <w:rFonts w:ascii="Calibri" w:cs="Calibri" w:eastAsia="Calibri" w:hAnsi="Calibri"/>
          <w:sz w:val="24"/>
          <w:szCs w:val="24"/>
          <w:rtl w:val="0"/>
        </w:rPr>
        <w:t xml:space="preserve"> Matters relating to the health and safety of individuals at work or arising from work activity.</w:t>
      </w:r>
    </w:p>
    <w:p w:rsidR="00000000" w:rsidDel="00000000" w:rsidP="00000000" w:rsidRDefault="00000000" w:rsidRPr="00000000" w14:paraId="00000077">
      <w:pPr>
        <w:widowControl w:val="0"/>
        <w:numPr>
          <w:ilvl w:val="0"/>
          <w:numId w:val="3"/>
        </w:numPr>
        <w:spacing w:after="0" w:afterAutospacing="0" w:before="0" w:beforeAutospacing="0" w:lineRule="auto"/>
        <w:ind w:left="720" w:hanging="360"/>
        <w:rPr>
          <w:sz w:val="24"/>
          <w:szCs w:val="24"/>
        </w:rPr>
      </w:pPr>
      <w:r w:rsidDel="00000000" w:rsidR="00000000" w:rsidRPr="00000000">
        <w:rPr>
          <w:rFonts w:ascii="Calibri" w:cs="Calibri" w:eastAsia="Calibri" w:hAnsi="Calibri"/>
          <w:b w:val="1"/>
          <w:bCs w:val="1"/>
          <w:sz w:val="24"/>
          <w:szCs w:val="24"/>
          <w:rtl w:val="0"/>
        </w:rPr>
        <w:t xml:space="preserve">Independent National Whistleblowing Officer (INWO) for the NHS in Scotland:</w:t>
      </w:r>
      <w:r w:rsidDel="00000000" w:rsidR="00000000" w:rsidRPr="00000000">
        <w:rPr>
          <w:rFonts w:ascii="Calibri" w:cs="Calibri" w:eastAsia="Calibri" w:hAnsi="Calibri"/>
          <w:sz w:val="24"/>
          <w:szCs w:val="24"/>
          <w:rtl w:val="0"/>
        </w:rPr>
        <w:t xml:space="preserve"> Matters relating to healthcare services in Scotland.</w:t>
      </w:r>
    </w:p>
    <w:p w:rsidR="00000000" w:rsidDel="00000000" w:rsidP="00000000" w:rsidRDefault="00000000" w:rsidRPr="00000000" w14:paraId="00000078">
      <w:pPr>
        <w:widowControl w:val="0"/>
        <w:numPr>
          <w:ilvl w:val="0"/>
          <w:numId w:val="3"/>
        </w:numPr>
        <w:spacing w:after="240" w:before="0" w:beforeAutospacing="0" w:lineRule="auto"/>
        <w:ind w:left="720" w:hanging="360"/>
        <w:rPr>
          <w:sz w:val="24"/>
          <w:szCs w:val="24"/>
        </w:rPr>
      </w:pPr>
      <w:r w:rsidDel="00000000" w:rsidR="00000000" w:rsidRPr="00000000">
        <w:rPr>
          <w:rFonts w:ascii="Calibri" w:cs="Calibri" w:eastAsia="Calibri" w:hAnsi="Calibri"/>
          <w:b w:val="1"/>
          <w:bCs w:val="1"/>
          <w:sz w:val="24"/>
          <w:szCs w:val="24"/>
          <w:rtl w:val="0"/>
        </w:rPr>
        <w:t xml:space="preserve">Care Quality Commission (CQC) / Health Improvement Scotland:</w:t>
      </w:r>
      <w:r w:rsidDel="00000000" w:rsidR="00000000" w:rsidRPr="00000000">
        <w:rPr>
          <w:rFonts w:ascii="Calibri" w:cs="Calibri" w:eastAsia="Calibri" w:hAnsi="Calibri"/>
          <w:sz w:val="24"/>
          <w:szCs w:val="24"/>
          <w:rtl w:val="0"/>
        </w:rPr>
        <w:t xml:space="preserve"> Relevant health regulators.</w:t>
      </w:r>
    </w:p>
    <w:p w:rsidR="00000000" w:rsidDel="00000000" w:rsidP="00000000" w:rsidRDefault="00000000" w:rsidRPr="00000000" w14:paraId="00000079">
      <w:pPr>
        <w:pStyle w:val="Heading3"/>
        <w:keepNext w:val="0"/>
        <w:keepLines w:val="0"/>
        <w:widowControl w:val="0"/>
        <w:spacing w:before="280" w:lineRule="auto"/>
        <w:rPr>
          <w:rFonts w:ascii="Calibri" w:cs="Calibri" w:eastAsia="Calibri" w:hAnsi="Calibri"/>
          <w:b w:val="1"/>
          <w:bCs w:val="1"/>
          <w:color w:val="000000"/>
          <w:sz w:val="26"/>
          <w:szCs w:val="26"/>
        </w:rPr>
      </w:pPr>
      <w:bookmarkStart w:colFirst="0" w:colLast="0" w:name="_qeslrgh953b3" w:id="6"/>
      <w:bookmarkEnd w:id="6"/>
      <w:r w:rsidDel="00000000" w:rsidR="00000000" w:rsidRPr="00000000">
        <w:rPr>
          <w:rFonts w:ascii="Calibri" w:cs="Calibri" w:eastAsia="Calibri" w:hAnsi="Calibri"/>
          <w:b w:val="1"/>
          <w:bCs w:val="1"/>
          <w:color w:val="000000"/>
          <w:sz w:val="26"/>
          <w:szCs w:val="26"/>
          <w:rtl w:val="0"/>
        </w:rPr>
        <w:t xml:space="preserve">Governance, Public Funds, and Justice (Scottish and UK-wide)</w:t>
      </w:r>
    </w:p>
    <w:p w:rsidR="00000000" w:rsidDel="00000000" w:rsidP="00000000" w:rsidRDefault="00000000" w:rsidRPr="00000000" w14:paraId="0000007A">
      <w:pPr>
        <w:widowControl w:val="0"/>
        <w:numPr>
          <w:ilvl w:val="0"/>
          <w:numId w:val="4"/>
        </w:numPr>
        <w:spacing w:after="0" w:afterAutospacing="0" w:before="240" w:lineRule="auto"/>
        <w:ind w:left="720" w:hanging="360"/>
        <w:rPr>
          <w:sz w:val="24"/>
          <w:szCs w:val="24"/>
        </w:rPr>
      </w:pPr>
      <w:r w:rsidDel="00000000" w:rsidR="00000000" w:rsidRPr="00000000">
        <w:rPr>
          <w:rFonts w:ascii="Calibri" w:cs="Calibri" w:eastAsia="Calibri" w:hAnsi="Calibri"/>
          <w:b w:val="1"/>
          <w:bCs w:val="1"/>
          <w:sz w:val="24"/>
          <w:szCs w:val="24"/>
          <w:rtl w:val="0"/>
        </w:rPr>
        <w:t xml:space="preserve">Auditor General for Scotland / Audit Scotland / Accounts Commission for Scotland:</w:t>
      </w:r>
      <w:r w:rsidDel="00000000" w:rsidR="00000000" w:rsidRPr="00000000">
        <w:rPr>
          <w:rFonts w:ascii="Calibri" w:cs="Calibri" w:eastAsia="Calibri" w:hAnsi="Calibri"/>
          <w:sz w:val="24"/>
          <w:szCs w:val="24"/>
          <w:rtl w:val="0"/>
        </w:rPr>
        <w:t xml:space="preserve"> Matters concerning the economy, efficiency, and effectiveness of public funds in Scotland.</w:t>
      </w:r>
    </w:p>
    <w:p w:rsidR="00000000" w:rsidDel="00000000" w:rsidP="00000000" w:rsidRDefault="00000000" w:rsidRPr="00000000" w14:paraId="0000007B">
      <w:pPr>
        <w:widowControl w:val="0"/>
        <w:numPr>
          <w:ilvl w:val="0"/>
          <w:numId w:val="4"/>
        </w:numPr>
        <w:spacing w:after="0" w:afterAutospacing="0" w:before="0" w:beforeAutospacing="0" w:lineRule="auto"/>
        <w:ind w:left="720" w:hanging="360"/>
        <w:rPr>
          <w:sz w:val="24"/>
          <w:szCs w:val="24"/>
        </w:rPr>
      </w:pPr>
      <w:r w:rsidDel="00000000" w:rsidR="00000000" w:rsidRPr="00000000">
        <w:rPr>
          <w:rFonts w:ascii="Calibri" w:cs="Calibri" w:eastAsia="Calibri" w:hAnsi="Calibri"/>
          <w:b w:val="1"/>
          <w:bCs w:val="1"/>
          <w:sz w:val="24"/>
          <w:szCs w:val="24"/>
          <w:rtl w:val="0"/>
        </w:rPr>
        <w:t xml:space="preserve">Procurator Fiscal:</w:t>
      </w:r>
      <w:r w:rsidDel="00000000" w:rsidR="00000000" w:rsidRPr="00000000">
        <w:rPr>
          <w:rFonts w:ascii="Calibri" w:cs="Calibri" w:eastAsia="Calibri" w:hAnsi="Calibri"/>
          <w:sz w:val="24"/>
          <w:szCs w:val="24"/>
          <w:rtl w:val="0"/>
        </w:rPr>
        <w:t xml:space="preserve"> Matters concerning the prosecution of offences in Scotland.</w:t>
      </w:r>
    </w:p>
    <w:p w:rsidR="00000000" w:rsidDel="00000000" w:rsidP="00000000" w:rsidRDefault="00000000" w:rsidRPr="00000000" w14:paraId="0000007C">
      <w:pPr>
        <w:widowControl w:val="0"/>
        <w:numPr>
          <w:ilvl w:val="0"/>
          <w:numId w:val="4"/>
        </w:numPr>
        <w:spacing w:after="0" w:afterAutospacing="0" w:before="0" w:beforeAutospacing="0" w:lineRule="auto"/>
        <w:ind w:left="720" w:hanging="360"/>
        <w:rPr>
          <w:sz w:val="24"/>
          <w:szCs w:val="24"/>
        </w:rPr>
      </w:pPr>
      <w:r w:rsidDel="00000000" w:rsidR="00000000" w:rsidRPr="00000000">
        <w:rPr>
          <w:rFonts w:ascii="Calibri" w:cs="Calibri" w:eastAsia="Calibri" w:hAnsi="Calibri"/>
          <w:b w:val="1"/>
          <w:bCs w:val="1"/>
          <w:sz w:val="24"/>
          <w:szCs w:val="24"/>
          <w:rtl w:val="0"/>
        </w:rPr>
        <w:t xml:space="preserve">Comptroller and Auditor General / National Audit Office (NAO):</w:t>
      </w:r>
      <w:r w:rsidDel="00000000" w:rsidR="00000000" w:rsidRPr="00000000">
        <w:rPr>
          <w:rFonts w:ascii="Calibri" w:cs="Calibri" w:eastAsia="Calibri" w:hAnsi="Calibri"/>
          <w:sz w:val="24"/>
          <w:szCs w:val="24"/>
          <w:rtl w:val="0"/>
        </w:rPr>
        <w:t xml:space="preserve"> Matters concerning central government accounts and economy.</w:t>
      </w:r>
    </w:p>
    <w:p w:rsidR="00000000" w:rsidDel="00000000" w:rsidP="00000000" w:rsidRDefault="00000000" w:rsidRPr="00000000" w14:paraId="0000007D">
      <w:pPr>
        <w:widowControl w:val="0"/>
        <w:numPr>
          <w:ilvl w:val="0"/>
          <w:numId w:val="4"/>
        </w:numPr>
        <w:spacing w:after="0" w:afterAutospacing="0" w:before="0" w:beforeAutospacing="0" w:lineRule="auto"/>
        <w:ind w:left="720" w:hanging="360"/>
        <w:rPr>
          <w:sz w:val="24"/>
          <w:szCs w:val="24"/>
        </w:rPr>
      </w:pPr>
      <w:r w:rsidDel="00000000" w:rsidR="00000000" w:rsidRPr="00000000">
        <w:rPr>
          <w:rFonts w:ascii="Calibri" w:cs="Calibri" w:eastAsia="Calibri" w:hAnsi="Calibri"/>
          <w:b w:val="1"/>
          <w:bCs w:val="1"/>
          <w:sz w:val="24"/>
          <w:szCs w:val="24"/>
          <w:rtl w:val="0"/>
        </w:rPr>
        <w:t xml:space="preserve">Commissioner for Ethical Standards in Public Life in Scotland:</w:t>
      </w:r>
      <w:r w:rsidDel="00000000" w:rsidR="00000000" w:rsidRPr="00000000">
        <w:rPr>
          <w:rFonts w:ascii="Calibri" w:cs="Calibri" w:eastAsia="Calibri" w:hAnsi="Calibri"/>
          <w:sz w:val="24"/>
          <w:szCs w:val="24"/>
          <w:rtl w:val="0"/>
        </w:rPr>
        <w:t xml:space="preserve"> Matters relating to conduct in public life.</w:t>
      </w:r>
    </w:p>
    <w:p w:rsidR="00000000" w:rsidDel="00000000" w:rsidP="00000000" w:rsidRDefault="00000000" w:rsidRPr="00000000" w14:paraId="0000007E">
      <w:pPr>
        <w:widowControl w:val="0"/>
        <w:numPr>
          <w:ilvl w:val="0"/>
          <w:numId w:val="4"/>
        </w:numPr>
        <w:spacing w:after="240" w:before="0" w:beforeAutospacing="0" w:lineRule="auto"/>
        <w:ind w:left="720" w:hanging="360"/>
        <w:rPr>
          <w:sz w:val="24"/>
          <w:szCs w:val="24"/>
        </w:rPr>
      </w:pPr>
      <w:r w:rsidDel="00000000" w:rsidR="00000000" w:rsidRPr="00000000">
        <w:rPr>
          <w:rFonts w:ascii="Calibri" w:cs="Calibri" w:eastAsia="Calibri" w:hAnsi="Calibri"/>
          <w:b w:val="1"/>
          <w:bCs w:val="1"/>
          <w:sz w:val="24"/>
          <w:szCs w:val="24"/>
          <w:rtl w:val="0"/>
        </w:rPr>
        <w:t xml:space="preserve">Serious Fraud Office (SFO):</w:t>
      </w:r>
      <w:r w:rsidDel="00000000" w:rsidR="00000000" w:rsidRPr="00000000">
        <w:rPr>
          <w:rFonts w:ascii="Calibri" w:cs="Calibri" w:eastAsia="Calibri" w:hAnsi="Calibri"/>
          <w:sz w:val="24"/>
          <w:szCs w:val="24"/>
          <w:rtl w:val="0"/>
        </w:rPr>
        <w:t xml:space="preserve"> Matters relating to serious or complex fraud and corruption.</w:t>
      </w:r>
    </w:p>
    <w:p w:rsidR="00000000" w:rsidDel="00000000" w:rsidP="00000000" w:rsidRDefault="00000000" w:rsidRPr="00000000" w14:paraId="0000007F">
      <w:pPr>
        <w:pStyle w:val="Heading3"/>
        <w:keepNext w:val="0"/>
        <w:keepLines w:val="0"/>
        <w:widowControl w:val="0"/>
        <w:spacing w:before="280" w:lineRule="auto"/>
        <w:rPr>
          <w:rFonts w:ascii="Calibri" w:cs="Calibri" w:eastAsia="Calibri" w:hAnsi="Calibri"/>
          <w:b w:val="1"/>
          <w:bCs w:val="1"/>
          <w:color w:val="000000"/>
          <w:sz w:val="26"/>
          <w:szCs w:val="26"/>
        </w:rPr>
      </w:pPr>
      <w:bookmarkStart w:colFirst="0" w:colLast="0" w:name="_h16yxl5zjn2h" w:id="7"/>
      <w:bookmarkEnd w:id="7"/>
      <w:r w:rsidDel="00000000" w:rsidR="00000000" w:rsidRPr="00000000">
        <w:rPr>
          <w:rFonts w:ascii="Calibri" w:cs="Calibri" w:eastAsia="Calibri" w:hAnsi="Calibri"/>
          <w:b w:val="1"/>
          <w:bCs w:val="1"/>
          <w:color w:val="000000"/>
          <w:sz w:val="26"/>
          <w:szCs w:val="26"/>
          <w:rtl w:val="0"/>
        </w:rPr>
        <w:t xml:space="preserve">Environment and Public Utilities</w:t>
      </w:r>
    </w:p>
    <w:p w:rsidR="00000000" w:rsidDel="00000000" w:rsidP="00000000" w:rsidRDefault="00000000" w:rsidRPr="00000000" w14:paraId="00000080">
      <w:pPr>
        <w:widowControl w:val="0"/>
        <w:numPr>
          <w:ilvl w:val="0"/>
          <w:numId w:val="7"/>
        </w:numPr>
        <w:spacing w:after="0" w:afterAutospacing="0" w:before="240" w:lineRule="auto"/>
        <w:ind w:left="720" w:hanging="360"/>
        <w:rPr>
          <w:sz w:val="24"/>
          <w:szCs w:val="24"/>
        </w:rPr>
      </w:pPr>
      <w:r w:rsidDel="00000000" w:rsidR="00000000" w:rsidRPr="00000000">
        <w:rPr>
          <w:rFonts w:ascii="Calibri" w:cs="Calibri" w:eastAsia="Calibri" w:hAnsi="Calibri"/>
          <w:b w:val="1"/>
          <w:bCs w:val="1"/>
          <w:sz w:val="24"/>
          <w:szCs w:val="24"/>
          <w:rtl w:val="0"/>
        </w:rPr>
        <w:t xml:space="preserve">Scottish Environment Protection Agency (SEPA):</w:t>
      </w:r>
      <w:r w:rsidDel="00000000" w:rsidR="00000000" w:rsidRPr="00000000">
        <w:rPr>
          <w:rFonts w:ascii="Calibri" w:cs="Calibri" w:eastAsia="Calibri" w:hAnsi="Calibri"/>
          <w:sz w:val="24"/>
          <w:szCs w:val="24"/>
          <w:rtl w:val="0"/>
        </w:rPr>
        <w:t xml:space="preserve"> Matters relating to environmental regulation and protection.</w:t>
      </w:r>
    </w:p>
    <w:p w:rsidR="00000000" w:rsidDel="00000000" w:rsidP="00000000" w:rsidRDefault="00000000" w:rsidRPr="00000000" w14:paraId="00000081">
      <w:pPr>
        <w:widowControl w:val="0"/>
        <w:numPr>
          <w:ilvl w:val="0"/>
          <w:numId w:val="7"/>
        </w:numPr>
        <w:spacing w:after="240" w:before="0" w:beforeAutospacing="0" w:lineRule="auto"/>
        <w:ind w:left="720" w:hanging="360"/>
        <w:rPr>
          <w:sz w:val="24"/>
          <w:szCs w:val="24"/>
        </w:rPr>
      </w:pPr>
      <w:r w:rsidDel="00000000" w:rsidR="00000000" w:rsidRPr="00000000">
        <w:rPr>
          <w:rFonts w:ascii="Calibri" w:cs="Calibri" w:eastAsia="Calibri" w:hAnsi="Calibri"/>
          <w:b w:val="1"/>
          <w:bCs w:val="1"/>
          <w:sz w:val="24"/>
          <w:szCs w:val="24"/>
          <w:rtl w:val="0"/>
        </w:rPr>
        <w:t xml:space="preserve">Ofgem / Ofwat:</w:t>
      </w:r>
      <w:r w:rsidDel="00000000" w:rsidR="00000000" w:rsidRPr="00000000">
        <w:rPr>
          <w:rFonts w:ascii="Calibri" w:cs="Calibri" w:eastAsia="Calibri" w:hAnsi="Calibri"/>
          <w:sz w:val="24"/>
          <w:szCs w:val="24"/>
          <w:rtl w:val="0"/>
        </w:rPr>
        <w:t xml:space="preserve"> Regulators for the gas/electricity and water industries, respectively.</w:t>
      </w:r>
    </w:p>
    <w:p w:rsidR="00000000" w:rsidDel="00000000" w:rsidP="00000000" w:rsidRDefault="00000000" w:rsidRPr="00000000" w14:paraId="00000082">
      <w:pPr>
        <w:pStyle w:val="Heading3"/>
        <w:keepNext w:val="0"/>
        <w:keepLines w:val="0"/>
        <w:widowControl w:val="0"/>
        <w:spacing w:before="280" w:lineRule="auto"/>
        <w:rPr>
          <w:rFonts w:ascii="Calibri" w:cs="Calibri" w:eastAsia="Calibri" w:hAnsi="Calibri"/>
          <w:b w:val="1"/>
          <w:bCs w:val="1"/>
          <w:color w:val="000000"/>
          <w:sz w:val="26"/>
          <w:szCs w:val="26"/>
        </w:rPr>
      </w:pPr>
      <w:bookmarkStart w:colFirst="0" w:colLast="0" w:name="_7bloj7qfczch" w:id="8"/>
      <w:bookmarkEnd w:id="8"/>
      <w:r w:rsidDel="00000000" w:rsidR="00000000" w:rsidRPr="00000000">
        <w:rPr>
          <w:rFonts w:ascii="Calibri" w:cs="Calibri" w:eastAsia="Calibri" w:hAnsi="Calibri"/>
          <w:b w:val="1"/>
          <w:bCs w:val="1"/>
          <w:color w:val="000000"/>
          <w:sz w:val="26"/>
          <w:szCs w:val="26"/>
          <w:rtl w:val="0"/>
        </w:rPr>
        <w:t xml:space="preserve">Other Key Bodies</w:t>
      </w:r>
    </w:p>
    <w:p w:rsidR="00000000" w:rsidDel="00000000" w:rsidP="00000000" w:rsidRDefault="00000000" w:rsidRPr="00000000" w14:paraId="00000083">
      <w:pPr>
        <w:widowControl w:val="0"/>
        <w:numPr>
          <w:ilvl w:val="0"/>
          <w:numId w:val="1"/>
        </w:numPr>
        <w:spacing w:after="0" w:afterAutospacing="0" w:before="240" w:lineRule="auto"/>
        <w:ind w:left="720" w:hanging="360"/>
        <w:rPr>
          <w:sz w:val="24"/>
          <w:szCs w:val="24"/>
        </w:rPr>
      </w:pPr>
      <w:r w:rsidDel="00000000" w:rsidR="00000000" w:rsidRPr="00000000">
        <w:rPr>
          <w:rFonts w:ascii="Calibri" w:cs="Calibri" w:eastAsia="Calibri" w:hAnsi="Calibri"/>
          <w:b w:val="1"/>
          <w:bCs w:val="1"/>
          <w:sz w:val="24"/>
          <w:szCs w:val="24"/>
          <w:rtl w:val="0"/>
        </w:rPr>
        <w:t xml:space="preserve">Secretary of State for Business and Trade (Updated for 2025):</w:t>
      </w:r>
      <w:r w:rsidDel="00000000" w:rsidR="00000000" w:rsidRPr="00000000">
        <w:rPr>
          <w:rFonts w:ascii="Calibri" w:cs="Calibri" w:eastAsia="Calibri" w:hAnsi="Calibri"/>
          <w:sz w:val="24"/>
          <w:szCs w:val="24"/>
          <w:rtl w:val="0"/>
        </w:rPr>
        <w:t xml:space="preserve"> Now includes disclosures relating to certain </w:t>
      </w:r>
      <w:r w:rsidDel="00000000" w:rsidR="00000000" w:rsidRPr="00000000">
        <w:rPr>
          <w:rFonts w:ascii="Calibri" w:cs="Calibri" w:eastAsia="Calibri" w:hAnsi="Calibri"/>
          <w:b w:val="1"/>
          <w:bCs w:val="1"/>
          <w:sz w:val="24"/>
          <w:szCs w:val="24"/>
          <w:rtl w:val="0"/>
        </w:rPr>
        <w:t xml:space="preserve">trade sanctions</w:t>
      </w:r>
      <w:r w:rsidDel="00000000" w:rsidR="00000000" w:rsidRPr="00000000">
        <w:rPr>
          <w:rFonts w:ascii="Calibri" w:cs="Calibri" w:eastAsia="Calibri" w:hAnsi="Calibri"/>
          <w:sz w:val="24"/>
          <w:szCs w:val="24"/>
          <w:rtl w:val="0"/>
        </w:rPr>
        <w:t xml:space="preserve">.</w:t>
      </w:r>
    </w:p>
    <w:p w:rsidR="00000000" w:rsidDel="00000000" w:rsidP="00000000" w:rsidRDefault="00000000" w:rsidRPr="00000000" w14:paraId="00000084">
      <w:pPr>
        <w:widowControl w:val="0"/>
        <w:numPr>
          <w:ilvl w:val="0"/>
          <w:numId w:val="1"/>
        </w:numPr>
        <w:spacing w:after="0" w:afterAutospacing="0" w:before="0" w:beforeAutospacing="0" w:lineRule="auto"/>
        <w:ind w:left="720" w:hanging="360"/>
        <w:rPr>
          <w:sz w:val="24"/>
          <w:szCs w:val="24"/>
        </w:rPr>
      </w:pPr>
      <w:r w:rsidDel="00000000" w:rsidR="00000000" w:rsidRPr="00000000">
        <w:rPr>
          <w:rFonts w:ascii="Calibri" w:cs="Calibri" w:eastAsia="Calibri" w:hAnsi="Calibri"/>
          <w:b w:val="1"/>
          <w:bCs w:val="1"/>
          <w:sz w:val="24"/>
          <w:szCs w:val="24"/>
          <w:rtl w:val="0"/>
        </w:rPr>
        <w:t xml:space="preserve">Secretary of State for Transport (Updated for 2025):</w:t>
      </w:r>
      <w:r w:rsidDel="00000000" w:rsidR="00000000" w:rsidRPr="00000000">
        <w:rPr>
          <w:rFonts w:ascii="Calibri" w:cs="Calibri" w:eastAsia="Calibri" w:hAnsi="Calibri"/>
          <w:sz w:val="24"/>
          <w:szCs w:val="24"/>
          <w:rtl w:val="0"/>
        </w:rPr>
        <w:t xml:space="preserve"> Now includes disclosures relating to </w:t>
      </w:r>
      <w:r w:rsidDel="00000000" w:rsidR="00000000" w:rsidRPr="00000000">
        <w:rPr>
          <w:rFonts w:ascii="Calibri" w:cs="Calibri" w:eastAsia="Calibri" w:hAnsi="Calibri"/>
          <w:b w:val="1"/>
          <w:bCs w:val="1"/>
          <w:sz w:val="24"/>
          <w:szCs w:val="24"/>
          <w:rtl w:val="0"/>
        </w:rPr>
        <w:t xml:space="preserve">transport sanctions</w:t>
      </w:r>
      <w:r w:rsidDel="00000000" w:rsidR="00000000" w:rsidRPr="00000000">
        <w:rPr>
          <w:rFonts w:ascii="Calibri" w:cs="Calibri" w:eastAsia="Calibri" w:hAnsi="Calibri"/>
          <w:sz w:val="24"/>
          <w:szCs w:val="24"/>
          <w:rtl w:val="0"/>
        </w:rPr>
        <w:t xml:space="preserve"> (aircraft and shipping).</w:t>
      </w:r>
    </w:p>
    <w:p w:rsidR="00000000" w:rsidDel="00000000" w:rsidP="00000000" w:rsidRDefault="00000000" w:rsidRPr="00000000" w14:paraId="00000085">
      <w:pPr>
        <w:widowControl w:val="0"/>
        <w:numPr>
          <w:ilvl w:val="0"/>
          <w:numId w:val="1"/>
        </w:numPr>
        <w:spacing w:after="0" w:afterAutospacing="0" w:before="0" w:beforeAutospacing="0" w:lineRule="auto"/>
        <w:ind w:left="720" w:hanging="360"/>
        <w:rPr>
          <w:sz w:val="24"/>
          <w:szCs w:val="24"/>
        </w:rPr>
      </w:pPr>
      <w:r w:rsidDel="00000000" w:rsidR="00000000" w:rsidRPr="00000000">
        <w:rPr>
          <w:rFonts w:ascii="Calibri" w:cs="Calibri" w:eastAsia="Calibri" w:hAnsi="Calibri"/>
          <w:b w:val="1"/>
          <w:bCs w:val="1"/>
          <w:sz w:val="24"/>
          <w:szCs w:val="24"/>
          <w:rtl w:val="0"/>
        </w:rPr>
        <w:t xml:space="preserve">Office of the Scottish Charity Regulator (OSCR):</w:t>
      </w:r>
      <w:r w:rsidDel="00000000" w:rsidR="00000000" w:rsidRPr="00000000">
        <w:rPr>
          <w:rFonts w:ascii="Calibri" w:cs="Calibri" w:eastAsia="Calibri" w:hAnsi="Calibri"/>
          <w:sz w:val="24"/>
          <w:szCs w:val="24"/>
          <w:rtl w:val="0"/>
        </w:rPr>
        <w:t xml:space="preserve"> Matters relating to charities in Scotland.</w:t>
      </w:r>
    </w:p>
    <w:p w:rsidR="00000000" w:rsidDel="00000000" w:rsidP="00000000" w:rsidRDefault="00000000" w:rsidRPr="00000000" w14:paraId="00000086">
      <w:pPr>
        <w:widowControl w:val="0"/>
        <w:numPr>
          <w:ilvl w:val="0"/>
          <w:numId w:val="1"/>
        </w:numPr>
        <w:spacing w:after="0" w:afterAutospacing="0" w:before="0" w:beforeAutospacing="0" w:lineRule="auto"/>
        <w:ind w:left="720" w:hanging="360"/>
        <w:rPr>
          <w:sz w:val="24"/>
          <w:szCs w:val="24"/>
        </w:rPr>
      </w:pPr>
      <w:r w:rsidDel="00000000" w:rsidR="00000000" w:rsidRPr="00000000">
        <w:rPr>
          <w:rFonts w:ascii="Calibri" w:cs="Calibri" w:eastAsia="Calibri" w:hAnsi="Calibri"/>
          <w:b w:val="1"/>
          <w:bCs w:val="1"/>
          <w:sz w:val="24"/>
          <w:szCs w:val="24"/>
          <w:rtl w:val="0"/>
        </w:rPr>
        <w:t xml:space="preserve">Information Commissioner's Office (ICO):</w:t>
      </w:r>
      <w:r w:rsidDel="00000000" w:rsidR="00000000" w:rsidRPr="00000000">
        <w:rPr>
          <w:rFonts w:ascii="Calibri" w:cs="Calibri" w:eastAsia="Calibri" w:hAnsi="Calibri"/>
          <w:sz w:val="24"/>
          <w:szCs w:val="24"/>
          <w:rtl w:val="0"/>
        </w:rPr>
        <w:t xml:space="preserve"> Matters relating to data protection and Freedom of Information (FOI).</w:t>
      </w:r>
    </w:p>
    <w:p w:rsidR="00000000" w:rsidDel="00000000" w:rsidP="00000000" w:rsidRDefault="00000000" w:rsidRPr="00000000" w14:paraId="00000087">
      <w:pPr>
        <w:widowControl w:val="0"/>
        <w:numPr>
          <w:ilvl w:val="0"/>
          <w:numId w:val="1"/>
        </w:numPr>
        <w:spacing w:after="240" w:before="0" w:beforeAutospacing="0" w:lineRule="auto"/>
        <w:ind w:left="720" w:hanging="360"/>
        <w:rPr>
          <w:sz w:val="24"/>
          <w:szCs w:val="24"/>
        </w:rPr>
      </w:pPr>
      <w:r w:rsidDel="00000000" w:rsidR="00000000" w:rsidRPr="00000000">
        <w:rPr>
          <w:rFonts w:ascii="Calibri" w:cs="Calibri" w:eastAsia="Calibri" w:hAnsi="Calibri"/>
          <w:b w:val="1"/>
          <w:bCs w:val="1"/>
          <w:sz w:val="24"/>
          <w:szCs w:val="24"/>
          <w:rtl w:val="0"/>
        </w:rPr>
        <w:t xml:space="preserve">NSPCC:</w:t>
      </w:r>
      <w:r w:rsidDel="00000000" w:rsidR="00000000" w:rsidRPr="00000000">
        <w:rPr>
          <w:rFonts w:ascii="Calibri" w:cs="Calibri" w:eastAsia="Calibri" w:hAnsi="Calibri"/>
          <w:sz w:val="24"/>
          <w:szCs w:val="24"/>
          <w:rtl w:val="0"/>
        </w:rPr>
        <w:t xml:space="preserve"> Matters relating to the protection of children.</w:t>
      </w:r>
    </w:p>
    <w:p w:rsidR="00000000" w:rsidDel="00000000" w:rsidP="00000000" w:rsidRDefault="00000000" w:rsidRPr="00000000" w14:paraId="00000088">
      <w:pPr>
        <w:widowControl w:val="0"/>
        <w:spacing w:after="240" w:before="240" w:lineRule="auto"/>
        <w:rPr>
          <w:rFonts w:ascii="Calibri" w:cs="Calibri" w:eastAsia="Calibri" w:hAnsi="Calibri"/>
          <w:sz w:val="24"/>
          <w:szCs w:val="24"/>
        </w:rPr>
      </w:pPr>
      <w:r w:rsidDel="00000000" w:rsidR="00000000" w:rsidRPr="00000000">
        <w:rPr>
          <w:rFonts w:ascii="Calibri" w:cs="Calibri" w:eastAsia="Calibri" w:hAnsi="Calibri"/>
          <w:b w:val="1"/>
          <w:bCs w:val="1"/>
          <w:sz w:val="24"/>
          <w:szCs w:val="24"/>
          <w:rtl w:val="0"/>
        </w:rPr>
        <w:t xml:space="preserve">Crucially, a worker must ensure they pick the correct "Prescribed Person" whose remit covers the subject matter of the disclosure.</w:t>
      </w:r>
      <w:r w:rsidDel="00000000" w:rsidR="00000000" w:rsidRPr="00000000">
        <w:rPr>
          <w:rFonts w:ascii="Calibri" w:cs="Calibri" w:eastAsia="Calibri" w:hAnsi="Calibri"/>
          <w:sz w:val="24"/>
          <w:szCs w:val="24"/>
          <w:rtl w:val="0"/>
        </w:rPr>
        <w:t xml:space="preserve"> If they report to the wrong prescribed person, they may lose legal protection.</w:t>
      </w:r>
    </w:p>
    <w:p w:rsidR="00000000" w:rsidDel="00000000" w:rsidP="00000000" w:rsidRDefault="00000000" w:rsidRPr="00000000" w14:paraId="00000089">
      <w:pPr>
        <w:pageBreakBefore w:val="0"/>
        <w:widowControl w:val="0"/>
        <w:spacing w:line="276" w:lineRule="auto"/>
        <w:rPr>
          <w:rFonts w:ascii="Calibri" w:cs="Calibri" w:eastAsia="Calibri" w:hAnsi="Calibri"/>
          <w:sz w:val="24"/>
          <w:szCs w:val="24"/>
        </w:rPr>
      </w:pPr>
      <w:r w:rsidDel="00000000" w:rsidR="00000000" w:rsidRPr="00000000">
        <w:rPr>
          <w:rtl w:val="0"/>
        </w:rPr>
      </w:r>
    </w:p>
    <w:sectPr>
      <w:headerReference r:id="rId6" w:type="default"/>
      <w:footerReference r:id="rId7" w:type="default"/>
      <w:pgSz w:h="16834" w:w="11909" w:orient="portrait"/>
      <w:pgMar w:bottom="1440.0000000000002" w:top="1440.0000000000002" w:left="708.6614173228347" w:right="708.6614173228347"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Calibri"/>
  <w:font w:name="Noto Sans Symbols">
    <w:embedRegular w:fontKey="{00000000-0000-0000-0000-000000000000}" r:id="rId1" w:subsetted="0"/>
    <w:embedBold w:fontKey="{00000000-0000-0000-0000-000000000000}" r:id="rId2"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8B">
    <w:pPr>
      <w:pageBreakBefore w:val="0"/>
      <w:rPr/>
    </w:pPr>
    <w:r w:rsidDel="00000000" w:rsidR="00000000" w:rsidRPr="00000000">
      <w:rPr>
        <w:rtl w:val="0"/>
      </w:rPr>
      <w:t xml:space="preserve">Last Updated:</w:t>
      <w:tab/>
      <w:t xml:space="preserve">JF 09/2025</w:t>
      <w:tab/>
      <w:tab/>
      <w:t xml:space="preserve">Author: EYS Scotland</w:t>
      <w:tab/>
      <w:tab/>
      <w:tab/>
      <w:tab/>
      <w:t xml:space="preserve">Version 2.0</w:t>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8A">
    <w:pPr>
      <w:pageBreakBefore w:val="0"/>
      <w:rPr/>
    </w:pPr>
    <w:r w:rsidDel="00000000" w:rsidR="00000000" w:rsidRPr="00000000">
      <w:rPr>
        <w:rtl w:val="0"/>
      </w:rPr>
    </w:r>
    <w:r w:rsidDel="00000000" w:rsidR="00000000" w:rsidRPr="00000000">
      <w:drawing>
        <wp:anchor allowOverlap="1" behindDoc="0" distB="0" distT="0" distL="0" distR="0" hidden="0" layoutInCell="1" locked="0" relativeHeight="0" simplePos="0">
          <wp:simplePos x="0" y="0"/>
          <wp:positionH relativeFrom="column">
            <wp:posOffset>4429125</wp:posOffset>
          </wp:positionH>
          <wp:positionV relativeFrom="paragraph">
            <wp:posOffset>-371474</wp:posOffset>
          </wp:positionV>
          <wp:extent cx="2384743" cy="881063"/>
          <wp:effectExtent b="0" l="0" r="0" t="0"/>
          <wp:wrapTopAndBottom distB="0" distT="0"/>
          <wp:docPr id="1" name="image1.png"/>
          <a:graphic>
            <a:graphicData uri="http://schemas.openxmlformats.org/drawingml/2006/picture">
              <pic:pic>
                <pic:nvPicPr>
                  <pic:cNvPr id="0" name="image1.png"/>
                  <pic:cNvPicPr preferRelativeResize="0"/>
                </pic:nvPicPr>
                <pic:blipFill>
                  <a:blip r:embed="rId1"/>
                  <a:srcRect b="0" l="0" r="0" t="0"/>
                  <a:stretch>
                    <a:fillRect/>
                  </a:stretch>
                </pic:blipFill>
                <pic:spPr>
                  <a:xfrm>
                    <a:off x="0" y="0"/>
                    <a:ext cx="2384743" cy="881063"/>
                  </a:xfrm>
                  <a:prstGeom prst="rect"/>
                  <a:ln/>
                </pic:spPr>
              </pic:pic>
            </a:graphicData>
          </a:graphic>
        </wp:anchor>
      </w:drawing>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lvl w:ilvl="0">
      <w:start w:val="1"/>
      <w:numFmt w:val="bullet"/>
      <w:lvlText w:val="●"/>
      <w:lvlJc w:val="left"/>
      <w:pPr>
        <w:ind w:left="720" w:hanging="360"/>
      </w:pPr>
      <w:rPr>
        <w:rFonts w:ascii="Noto Sans Symbols" w:cs="Noto Sans Symbols" w:eastAsia="Noto Sans Symbols" w:hAnsi="Noto Sans Symbols"/>
        <w:vertAlign w:val="baseline"/>
      </w:rPr>
    </w:lvl>
    <w:lvl w:ilvl="1">
      <w:start w:val="1"/>
      <w:numFmt w:val="bullet"/>
      <w:lvlText w:val="◦"/>
      <w:lvlJc w:val="left"/>
      <w:pPr>
        <w:ind w:left="1080" w:hanging="360"/>
      </w:pPr>
      <w:rPr>
        <w:rFonts w:ascii="Noto Sans Symbols" w:cs="Noto Sans Symbols" w:eastAsia="Noto Sans Symbols" w:hAnsi="Noto Sans Symbols"/>
        <w:vertAlign w:val="baseline"/>
      </w:rPr>
    </w:lvl>
    <w:lvl w:ilvl="2">
      <w:start w:val="1"/>
      <w:numFmt w:val="bullet"/>
      <w:lvlText w:val="▪"/>
      <w:lvlJc w:val="left"/>
      <w:pPr>
        <w:ind w:left="1440" w:hanging="360"/>
      </w:pPr>
      <w:rPr>
        <w:rFonts w:ascii="Noto Sans Symbols" w:cs="Noto Sans Symbols" w:eastAsia="Noto Sans Symbols" w:hAnsi="Noto Sans Symbols"/>
        <w:vertAlign w:val="baseline"/>
      </w:rPr>
    </w:lvl>
    <w:lvl w:ilvl="3">
      <w:start w:val="1"/>
      <w:numFmt w:val="bullet"/>
      <w:lvlText w:val="●"/>
      <w:lvlJc w:val="left"/>
      <w:pPr>
        <w:ind w:left="1800" w:hanging="360"/>
      </w:pPr>
      <w:rPr>
        <w:rFonts w:ascii="Noto Sans Symbols" w:cs="Noto Sans Symbols" w:eastAsia="Noto Sans Symbols" w:hAnsi="Noto Sans Symbols"/>
        <w:vertAlign w:val="baseline"/>
      </w:rPr>
    </w:lvl>
    <w:lvl w:ilvl="4">
      <w:start w:val="1"/>
      <w:numFmt w:val="bullet"/>
      <w:lvlText w:val="◦"/>
      <w:lvlJc w:val="left"/>
      <w:pPr>
        <w:ind w:left="2160" w:hanging="360"/>
      </w:pPr>
      <w:rPr>
        <w:rFonts w:ascii="Noto Sans Symbols" w:cs="Noto Sans Symbols" w:eastAsia="Noto Sans Symbols" w:hAnsi="Noto Sans Symbols"/>
        <w:vertAlign w:val="baseline"/>
      </w:rPr>
    </w:lvl>
    <w:lvl w:ilvl="5">
      <w:start w:val="1"/>
      <w:numFmt w:val="bullet"/>
      <w:lvlText w:val="▪"/>
      <w:lvlJc w:val="left"/>
      <w:pPr>
        <w:ind w:left="2520" w:hanging="360"/>
      </w:pPr>
      <w:rPr>
        <w:rFonts w:ascii="Noto Sans Symbols" w:cs="Noto Sans Symbols" w:eastAsia="Noto Sans Symbols" w:hAnsi="Noto Sans Symbols"/>
        <w:vertAlign w:val="baseline"/>
      </w:rPr>
    </w:lvl>
    <w:lvl w:ilvl="6">
      <w:start w:val="1"/>
      <w:numFmt w:val="bullet"/>
      <w:lvlText w:val="●"/>
      <w:lvlJc w:val="left"/>
      <w:pPr>
        <w:ind w:left="2880" w:hanging="360"/>
      </w:pPr>
      <w:rPr>
        <w:rFonts w:ascii="Noto Sans Symbols" w:cs="Noto Sans Symbols" w:eastAsia="Noto Sans Symbols" w:hAnsi="Noto Sans Symbols"/>
        <w:vertAlign w:val="baseline"/>
      </w:rPr>
    </w:lvl>
    <w:lvl w:ilvl="7">
      <w:start w:val="1"/>
      <w:numFmt w:val="bullet"/>
      <w:lvlText w:val="◦"/>
      <w:lvlJc w:val="left"/>
      <w:pPr>
        <w:ind w:left="3240" w:hanging="360"/>
      </w:pPr>
      <w:rPr>
        <w:rFonts w:ascii="Noto Sans Symbols" w:cs="Noto Sans Symbols" w:eastAsia="Noto Sans Symbols" w:hAnsi="Noto Sans Symbols"/>
        <w:vertAlign w:val="baseline"/>
      </w:rPr>
    </w:lvl>
    <w:lvl w:ilvl="8">
      <w:start w:val="1"/>
      <w:numFmt w:val="bullet"/>
      <w:lvlText w:val="▪"/>
      <w:lvlJc w:val="left"/>
      <w:pPr>
        <w:ind w:left="3600" w:hanging="360"/>
      </w:pPr>
      <w:rPr>
        <w:rFonts w:ascii="Noto Sans Symbols" w:cs="Noto Sans Symbols" w:eastAsia="Noto Sans Symbols" w:hAnsi="Noto Sans Symbols"/>
        <w:vertAlign w:val="baseline"/>
      </w:rPr>
    </w:lvl>
  </w:abstractNum>
  <w:abstractNum w:abstractNumId="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lvl w:ilvl="0">
      <w:start w:val="1"/>
      <w:numFmt w:val="bullet"/>
      <w:lvlText w:val="●"/>
      <w:lvlJc w:val="left"/>
      <w:pPr>
        <w:ind w:left="787" w:hanging="360"/>
      </w:pPr>
      <w:rPr>
        <w:rFonts w:ascii="Noto Sans Symbols" w:cs="Noto Sans Symbols" w:eastAsia="Noto Sans Symbols" w:hAnsi="Noto Sans Symbols"/>
        <w:vertAlign w:val="baseline"/>
      </w:rPr>
    </w:lvl>
    <w:lvl w:ilvl="1">
      <w:start w:val="1"/>
      <w:numFmt w:val="bullet"/>
      <w:lvlText w:val="◦"/>
      <w:lvlJc w:val="left"/>
      <w:pPr>
        <w:ind w:left="1147" w:hanging="360"/>
      </w:pPr>
      <w:rPr>
        <w:rFonts w:ascii="Noto Sans Symbols" w:cs="Noto Sans Symbols" w:eastAsia="Noto Sans Symbols" w:hAnsi="Noto Sans Symbols"/>
        <w:vertAlign w:val="baseline"/>
      </w:rPr>
    </w:lvl>
    <w:lvl w:ilvl="2">
      <w:start w:val="1"/>
      <w:numFmt w:val="bullet"/>
      <w:lvlText w:val="▪"/>
      <w:lvlJc w:val="left"/>
      <w:pPr>
        <w:ind w:left="1507" w:hanging="360"/>
      </w:pPr>
      <w:rPr>
        <w:rFonts w:ascii="Noto Sans Symbols" w:cs="Noto Sans Symbols" w:eastAsia="Noto Sans Symbols" w:hAnsi="Noto Sans Symbols"/>
        <w:vertAlign w:val="baseline"/>
      </w:rPr>
    </w:lvl>
    <w:lvl w:ilvl="3">
      <w:start w:val="1"/>
      <w:numFmt w:val="bullet"/>
      <w:lvlText w:val="●"/>
      <w:lvlJc w:val="left"/>
      <w:pPr>
        <w:ind w:left="1867" w:hanging="360"/>
      </w:pPr>
      <w:rPr>
        <w:rFonts w:ascii="Noto Sans Symbols" w:cs="Noto Sans Symbols" w:eastAsia="Noto Sans Symbols" w:hAnsi="Noto Sans Symbols"/>
        <w:vertAlign w:val="baseline"/>
      </w:rPr>
    </w:lvl>
    <w:lvl w:ilvl="4">
      <w:start w:val="1"/>
      <w:numFmt w:val="bullet"/>
      <w:lvlText w:val="◦"/>
      <w:lvlJc w:val="left"/>
      <w:pPr>
        <w:ind w:left="2227" w:hanging="360"/>
      </w:pPr>
      <w:rPr>
        <w:rFonts w:ascii="Noto Sans Symbols" w:cs="Noto Sans Symbols" w:eastAsia="Noto Sans Symbols" w:hAnsi="Noto Sans Symbols"/>
        <w:vertAlign w:val="baseline"/>
      </w:rPr>
    </w:lvl>
    <w:lvl w:ilvl="5">
      <w:start w:val="1"/>
      <w:numFmt w:val="bullet"/>
      <w:lvlText w:val="▪"/>
      <w:lvlJc w:val="left"/>
      <w:pPr>
        <w:ind w:left="2587" w:hanging="360"/>
      </w:pPr>
      <w:rPr>
        <w:rFonts w:ascii="Noto Sans Symbols" w:cs="Noto Sans Symbols" w:eastAsia="Noto Sans Symbols" w:hAnsi="Noto Sans Symbols"/>
        <w:vertAlign w:val="baseline"/>
      </w:rPr>
    </w:lvl>
    <w:lvl w:ilvl="6">
      <w:start w:val="1"/>
      <w:numFmt w:val="bullet"/>
      <w:lvlText w:val="●"/>
      <w:lvlJc w:val="left"/>
      <w:pPr>
        <w:ind w:left="2947" w:hanging="360"/>
      </w:pPr>
      <w:rPr>
        <w:rFonts w:ascii="Noto Sans Symbols" w:cs="Noto Sans Symbols" w:eastAsia="Noto Sans Symbols" w:hAnsi="Noto Sans Symbols"/>
        <w:vertAlign w:val="baseline"/>
      </w:rPr>
    </w:lvl>
    <w:lvl w:ilvl="7">
      <w:start w:val="1"/>
      <w:numFmt w:val="bullet"/>
      <w:lvlText w:val="◦"/>
      <w:lvlJc w:val="left"/>
      <w:pPr>
        <w:ind w:left="3307" w:hanging="360"/>
      </w:pPr>
      <w:rPr>
        <w:rFonts w:ascii="Noto Sans Symbols" w:cs="Noto Sans Symbols" w:eastAsia="Noto Sans Symbols" w:hAnsi="Noto Sans Symbols"/>
        <w:vertAlign w:val="baseline"/>
      </w:rPr>
    </w:lvl>
    <w:lvl w:ilvl="8">
      <w:start w:val="1"/>
      <w:numFmt w:val="bullet"/>
      <w:lvlText w:val="▪"/>
      <w:lvlJc w:val="left"/>
      <w:pPr>
        <w:ind w:left="3667" w:hanging="360"/>
      </w:pPr>
      <w:rPr>
        <w:rFonts w:ascii="Noto Sans Symbols" w:cs="Noto Sans Symbols" w:eastAsia="Noto Sans Symbols" w:hAnsi="Noto Sans Symbols"/>
        <w:vertAlign w:val="baseline"/>
      </w:rPr>
    </w:lvl>
  </w:abstractNum>
  <w:abstractNum w:abstractNumId="9">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
    <w:lvl w:ilvl="0">
      <w:start w:val="1"/>
      <w:numFmt w:val="bullet"/>
      <w:lvlText w:val="●"/>
      <w:lvlJc w:val="left"/>
      <w:pPr>
        <w:ind w:left="720" w:hanging="360"/>
      </w:pPr>
      <w:rPr>
        <w:rFonts w:ascii="Noto Sans Symbols" w:cs="Noto Sans Symbols" w:eastAsia="Noto Sans Symbols" w:hAnsi="Noto Sans Symbols"/>
        <w:vertAlign w:val="baseline"/>
      </w:rPr>
    </w:lvl>
    <w:lvl w:ilvl="1">
      <w:start w:val="1"/>
      <w:numFmt w:val="bullet"/>
      <w:lvlText w:val="◦"/>
      <w:lvlJc w:val="left"/>
      <w:pPr>
        <w:ind w:left="1080" w:hanging="360"/>
      </w:pPr>
      <w:rPr>
        <w:rFonts w:ascii="Noto Sans Symbols" w:cs="Noto Sans Symbols" w:eastAsia="Noto Sans Symbols" w:hAnsi="Noto Sans Symbols"/>
        <w:vertAlign w:val="baseline"/>
      </w:rPr>
    </w:lvl>
    <w:lvl w:ilvl="2">
      <w:start w:val="1"/>
      <w:numFmt w:val="bullet"/>
      <w:lvlText w:val="▪"/>
      <w:lvlJc w:val="left"/>
      <w:pPr>
        <w:ind w:left="1440" w:hanging="360"/>
      </w:pPr>
      <w:rPr>
        <w:rFonts w:ascii="Noto Sans Symbols" w:cs="Noto Sans Symbols" w:eastAsia="Noto Sans Symbols" w:hAnsi="Noto Sans Symbols"/>
        <w:vertAlign w:val="baseline"/>
      </w:rPr>
    </w:lvl>
    <w:lvl w:ilvl="3">
      <w:start w:val="1"/>
      <w:numFmt w:val="bullet"/>
      <w:lvlText w:val="●"/>
      <w:lvlJc w:val="left"/>
      <w:pPr>
        <w:ind w:left="1800" w:hanging="360"/>
      </w:pPr>
      <w:rPr>
        <w:rFonts w:ascii="Noto Sans Symbols" w:cs="Noto Sans Symbols" w:eastAsia="Noto Sans Symbols" w:hAnsi="Noto Sans Symbols"/>
        <w:vertAlign w:val="baseline"/>
      </w:rPr>
    </w:lvl>
    <w:lvl w:ilvl="4">
      <w:start w:val="1"/>
      <w:numFmt w:val="bullet"/>
      <w:lvlText w:val="◦"/>
      <w:lvlJc w:val="left"/>
      <w:pPr>
        <w:ind w:left="2160" w:hanging="360"/>
      </w:pPr>
      <w:rPr>
        <w:rFonts w:ascii="Noto Sans Symbols" w:cs="Noto Sans Symbols" w:eastAsia="Noto Sans Symbols" w:hAnsi="Noto Sans Symbols"/>
        <w:vertAlign w:val="baseline"/>
      </w:rPr>
    </w:lvl>
    <w:lvl w:ilvl="5">
      <w:start w:val="1"/>
      <w:numFmt w:val="bullet"/>
      <w:lvlText w:val="▪"/>
      <w:lvlJc w:val="left"/>
      <w:pPr>
        <w:ind w:left="2520" w:hanging="360"/>
      </w:pPr>
      <w:rPr>
        <w:rFonts w:ascii="Noto Sans Symbols" w:cs="Noto Sans Symbols" w:eastAsia="Noto Sans Symbols" w:hAnsi="Noto Sans Symbols"/>
        <w:vertAlign w:val="baseline"/>
      </w:rPr>
    </w:lvl>
    <w:lvl w:ilvl="6">
      <w:start w:val="1"/>
      <w:numFmt w:val="bullet"/>
      <w:lvlText w:val="●"/>
      <w:lvlJc w:val="left"/>
      <w:pPr>
        <w:ind w:left="2880" w:hanging="360"/>
      </w:pPr>
      <w:rPr>
        <w:rFonts w:ascii="Noto Sans Symbols" w:cs="Noto Sans Symbols" w:eastAsia="Noto Sans Symbols" w:hAnsi="Noto Sans Symbols"/>
        <w:vertAlign w:val="baseline"/>
      </w:rPr>
    </w:lvl>
    <w:lvl w:ilvl="7">
      <w:start w:val="1"/>
      <w:numFmt w:val="bullet"/>
      <w:lvlText w:val="◦"/>
      <w:lvlJc w:val="left"/>
      <w:pPr>
        <w:ind w:left="3240" w:hanging="360"/>
      </w:pPr>
      <w:rPr>
        <w:rFonts w:ascii="Noto Sans Symbols" w:cs="Noto Sans Symbols" w:eastAsia="Noto Sans Symbols" w:hAnsi="Noto Sans Symbols"/>
        <w:vertAlign w:val="baseline"/>
      </w:rPr>
    </w:lvl>
    <w:lvl w:ilvl="8">
      <w:start w:val="1"/>
      <w:numFmt w:val="bullet"/>
      <w:lvlText w:val="▪"/>
      <w:lvlJc w:val="left"/>
      <w:pPr>
        <w:ind w:left="3600" w:hanging="360"/>
      </w:pPr>
      <w:rPr>
        <w:rFonts w:ascii="Noto Sans Symbols" w:cs="Noto Sans Symbols" w:eastAsia="Noto Sans Symbols" w:hAnsi="Noto Sans Symbols"/>
        <w:vertAlign w:val="baseli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_GB"/>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eader" Target="header1.xml"/><Relationship Id="rId7" Type="http://schemas.openxmlformats.org/officeDocument/2006/relationships/footer" Target="footer1.xml"/></Relationships>
</file>

<file path=word/_rels/fontTable.xml.rels><?xml version="1.0" encoding="UTF-8" standalone="yes"?><Relationships xmlns="http://schemas.openxmlformats.org/package/2006/relationships"><Relationship Id="rId1" Type="http://schemas.openxmlformats.org/officeDocument/2006/relationships/font" Target="fonts/NotoSansSymbols-regular.ttf"/><Relationship Id="rId2" Type="http://schemas.openxmlformats.org/officeDocument/2006/relationships/font" Target="fonts/NotoSansSymbols-bold.tt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