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Routine Policy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spacing w:after="40" w:before="240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r0v6m5gadweu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Health and Social Care Standards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My support, my life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):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Standard 2.21: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"I take part in daily routines, such as setting up activities and mealtimes, if this is what I want."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Standard 2.22: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"I can maintain and develop my interests, activities and what matters to me in the way that I like."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Standard 2.27: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"As a child, I can direct my own play and activities in the way that I choose, and freely access a wide range of experiences and resources suitable for my age and stage, which stimulate my natural curiosity, learning and creativity."</w:t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bookmarkStart w:colFirst="0" w:colLast="0" w:name="_nwbho9bxaptr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National Guidance Alignment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Realising the Ambition: Being Me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, 2020):</w:t>
      </w:r>
    </w:p>
    <w:p w:rsidR="00000000" w:rsidDel="00000000" w:rsidP="00000000" w:rsidRDefault="00000000" w:rsidRPr="00000000" w14:paraId="00000007">
      <w:pPr>
        <w:spacing w:after="240" w:before="240" w:lineRule="auto"/>
        <w:ind w:left="600" w:right="600" w:firstLine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"Routines and rhythms can support children to feel secure as they come to know what is happening, and what will happen next."</w:t>
      </w:r>
    </w:p>
    <w:p w:rsidR="00000000" w:rsidDel="00000000" w:rsidP="00000000" w:rsidRDefault="00000000" w:rsidRPr="00000000" w14:paraId="00000008">
      <w:pPr>
        <w:spacing w:after="240" w:before="240" w:lineRule="auto"/>
        <w:ind w:left="600" w:right="600" w:firstLine="0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"Over-regimenting can have the opposite effect if children’s choices get side-lined, or valuable activities are interrupted."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6l31ysrouq7d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Policy Statement &amp; Daily Rhythm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Stramash recognises the essential role a predictable, meaningful daily rhythm plays in helping children feel safe, secure, and confident. We strive to be deeply responsive to each child's learning journey, respecting the power of self-directed play and recognising the negative impact of interrupting deep-level learning.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Rather than following a rigid timetable, the rhythm of each day flows naturally around the lead of the children, with routine touchpoints offering opportunities for connection and belonging.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Examples of natural, regular routines across Stramash settings include: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Signing in, hanging up bags, putting lunchboxes away.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Coming together for shared stories, songs, discussions, or planning the day.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Handwashing, fetching lunchboxes, and sitting together in designated eating areas.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Feeding wild birds, watering garden beds, weeding, or collecting kindling for campfires.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Regular participation in local initiatives such as Bookbug sessions, Childsmile tooth brushing routines, or PATHS emotional literacy activities.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rFonts w:ascii="Calibri" w:cs="Calibri" w:eastAsia="Calibri" w:hAnsi="Calibri"/>
          <w:b w:val="1"/>
          <w:bCs w:val="1"/>
          <w:color w:val="000000"/>
          <w:sz w:val="26"/>
          <w:szCs w:val="26"/>
        </w:rPr>
      </w:pPr>
      <w:bookmarkStart w:colFirst="0" w:colLast="0" w:name="_qpvev6vm4tdy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6"/>
          <w:szCs w:val="26"/>
          <w:rtl w:val="0"/>
        </w:rPr>
        <w:t xml:space="preserve">3. Balancing Child-Led Play with Adult-Led Intentional Experiences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While child-led play is at the heart of our pedagogy, Stramash also values the critical role of intentional adult teaching and leadership.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Practitioners are expected to plan and facilitate deliberate, adult-led experiences throughout the day to scaffold learning, introduce new concepts, stretch thinking, or model complex skills (such as tool use, fire lighting, or creative techniques).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Intentional planning does not mean rigid delivery. Practitioners must remain flexible. We acknowledge that in a dynamic outdoor nursery—especially on days with severe weather, high child numbers, or when children are deeply engrossed in complex, self-directed play—adult-led experiences may be adapted, postponed, or reframed.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Staff are trusted to use their professional judgment: if calling children away for a planned adult-led experience would disrupt rich, meaningful play, practitioners will pivot and adapt the rhythm of the day accordingly.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To ensure this flexible approach delivers both freedom and structure, staff regularly observe, reflect upon, and evaluate daily rhythms. Practitioners ensure that every child experiences a balanced, varied, and enriching environment where they have abundant control over their own learning, paired with skilled adult support when needed.</w:t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.0000000000002" w:top="1440.0000000000002" w:left="708.6614173228347" w:right="708.66141732283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rPr/>
    </w:pPr>
    <w:r w:rsidDel="00000000" w:rsidR="00000000" w:rsidRPr="00000000">
      <w:rPr>
        <w:rtl w:val="0"/>
      </w:rPr>
      <w:t xml:space="preserve">Last Updated: Aug 2026</w:t>
      <w:tab/>
      <w:tab/>
      <w:tab/>
      <w:t xml:space="preserve">Author: CS</w:t>
      <w:tab/>
      <w:tab/>
      <w:tab/>
      <w:tab/>
      <w:t xml:space="preserve">Version 2.0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4562475</wp:posOffset>
          </wp:positionH>
          <wp:positionV relativeFrom="paragraph">
            <wp:posOffset>-457199</wp:posOffset>
          </wp:positionV>
          <wp:extent cx="2384743" cy="881063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4743" cy="8810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