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lineRule="auto"/>
        <w:jc w:val="center"/>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Immunisation Policy</w:t>
      </w:r>
    </w:p>
    <w:p w:rsidR="00000000" w:rsidDel="00000000" w:rsidP="00000000" w:rsidRDefault="00000000" w:rsidRPr="00000000" w14:paraId="00000002">
      <w:pPr>
        <w:spacing w:after="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Health and Social Care Standards:</w:t>
      </w:r>
    </w:p>
    <w:p w:rsidR="00000000" w:rsidDel="00000000" w:rsidP="00000000" w:rsidRDefault="00000000" w:rsidRPr="00000000" w14:paraId="00000003">
      <w:pPr>
        <w:numPr>
          <w:ilvl w:val="0"/>
          <w:numId w:val="2"/>
        </w:numPr>
        <w:spacing w:after="0" w:after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1.2 My human rights are protected and promoted and I experience no discrimination</w:t>
        <w:br w:type="textWrapping"/>
      </w:r>
    </w:p>
    <w:p w:rsidR="00000000" w:rsidDel="00000000" w:rsidP="00000000" w:rsidRDefault="00000000" w:rsidRPr="00000000" w14:paraId="00000004">
      <w:pPr>
        <w:numPr>
          <w:ilvl w:val="0"/>
          <w:numId w:val="2"/>
        </w:numPr>
        <w:spacing w:after="0" w:after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3.4 I am confident that the right people are fully informed about my past, including my health and care experience, and any impact this has on me.</w:t>
        <w:br w:type="textWrapping"/>
      </w:r>
    </w:p>
    <w:p w:rsidR="00000000" w:rsidDel="00000000" w:rsidP="00000000" w:rsidRDefault="00000000" w:rsidRPr="00000000" w14:paraId="00000005">
      <w:pPr>
        <w:numPr>
          <w:ilvl w:val="0"/>
          <w:numId w:val="2"/>
        </w:numPr>
        <w:spacing w:after="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4.3 I experience care and support where all people are respected and valued.</w:t>
        <w:br w:type="textWrapping"/>
      </w:r>
    </w:p>
    <w:p w:rsidR="00000000" w:rsidDel="00000000" w:rsidP="00000000" w:rsidRDefault="00000000" w:rsidRPr="00000000" w14:paraId="00000006">
      <w:pPr>
        <w:spacing w:after="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 keeping with the guidance detailed in Public Health Scotland: Health Protection for Early Years Childcare Settings, Stramash as an organisation expects by default that children attending will be vaccinated in accordance with NHS advice. It is the responsibility of the parents/carers to inform the site Nursery Heads if their child is not vaccinated so that staff can manage any possible risks to the individual child or to other children/staff/families in the best way possible. In the event of a suspected or confirmed outbreak of an infectious disease, Stramash will report cases to the local NHS Health Protection Team (HPT) and submit an official notification to the Care Inspectorate.</w:t>
      </w:r>
    </w:p>
    <w:p w:rsidR="00000000" w:rsidDel="00000000" w:rsidP="00000000" w:rsidRDefault="00000000" w:rsidRPr="00000000" w14:paraId="00000007">
      <w:pPr>
        <w:spacing w:after="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Stramash will not discriminate against families and children who have not received their immunisations and will not disclose individual details to other parents. However, there may be a need to share any risks of infection if children have not had immunisations, and temporary exclusion periods may apply during active outbreaks under the direction of the local HPT.</w:t>
      </w:r>
    </w:p>
    <w:p w:rsidR="00000000" w:rsidDel="00000000" w:rsidP="00000000" w:rsidRDefault="00000000" w:rsidRPr="00000000" w14:paraId="00000008">
      <w:pPr>
        <w:spacing w:after="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Stramash will request and maintain information about immunisations on children’s registration documents and Nursery Heads will update this information as and when necessary, including when the child reaches the age for the appropriate immunisations (see below).</w:t>
      </w:r>
    </w:p>
    <w:p w:rsidR="00000000" w:rsidDel="00000000" w:rsidP="00000000" w:rsidRDefault="00000000" w:rsidRPr="00000000" w14:paraId="00000009">
      <w:pPr>
        <w:spacing w:after="24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Staff/Student/Volunteer Vaccinations</w:t>
      </w:r>
    </w:p>
    <w:p w:rsidR="00000000" w:rsidDel="00000000" w:rsidP="00000000" w:rsidRDefault="00000000" w:rsidRPr="00000000" w14:paraId="0000000A">
      <w:pPr>
        <w:spacing w:after="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Following guidance from NHS Scotland and Public Health Scotland, in order to protect staff, families and children it is the responsibility of all staff/students/volunteers to ensure they keep up-to-date with their vaccinations for:</w:t>
      </w:r>
    </w:p>
    <w:p w:rsidR="00000000" w:rsidDel="00000000" w:rsidP="00000000" w:rsidRDefault="00000000" w:rsidRPr="00000000" w14:paraId="0000000B">
      <w:pPr>
        <w:numPr>
          <w:ilvl w:val="0"/>
          <w:numId w:val="1"/>
        </w:numPr>
        <w:spacing w:after="0" w:after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Tetanus, Diphtheria, and Polio</w:t>
      </w:r>
    </w:p>
    <w:p w:rsidR="00000000" w:rsidDel="00000000" w:rsidP="00000000" w:rsidRDefault="00000000" w:rsidRPr="00000000" w14:paraId="0000000C">
      <w:pPr>
        <w:numPr>
          <w:ilvl w:val="0"/>
          <w:numId w:val="1"/>
        </w:numPr>
        <w:spacing w:after="0" w:after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Measles, Mumps, Rubella (MMR) / Varicella (MMRV)</w:t>
      </w:r>
    </w:p>
    <w:p w:rsidR="00000000" w:rsidDel="00000000" w:rsidP="00000000" w:rsidRDefault="00000000" w:rsidRPr="00000000" w14:paraId="0000000D">
      <w:pPr>
        <w:numPr>
          <w:ilvl w:val="0"/>
          <w:numId w:val="1"/>
        </w:numPr>
        <w:spacing w:after="0" w:after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Pertussis (Whooping Cough)</w:t>
      </w:r>
    </w:p>
    <w:p w:rsidR="00000000" w:rsidDel="00000000" w:rsidP="00000000" w:rsidRDefault="00000000" w:rsidRPr="00000000" w14:paraId="0000000E">
      <w:pPr>
        <w:numPr>
          <w:ilvl w:val="0"/>
          <w:numId w:val="1"/>
        </w:numPr>
        <w:spacing w:after="0" w:after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Varicella (Chickenpox - history of illness or vaccination)</w:t>
      </w:r>
    </w:p>
    <w:p w:rsidR="00000000" w:rsidDel="00000000" w:rsidP="00000000" w:rsidRDefault="00000000" w:rsidRPr="00000000" w14:paraId="0000000F">
      <w:pPr>
        <w:numPr>
          <w:ilvl w:val="0"/>
          <w:numId w:val="1"/>
        </w:numPr>
        <w:spacing w:after="0" w:after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Annual Seasonal Influenza (Flu)</w:t>
      </w:r>
    </w:p>
    <w:p w:rsidR="00000000" w:rsidDel="00000000" w:rsidP="00000000" w:rsidRDefault="00000000" w:rsidRPr="00000000" w14:paraId="00000010">
      <w:pPr>
        <w:numPr>
          <w:ilvl w:val="0"/>
          <w:numId w:val="1"/>
        </w:numPr>
        <w:spacing w:after="0" w:after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Hepatitis B (subject to risk assessment for first aid/body fluids)</w:t>
      </w:r>
    </w:p>
    <w:p w:rsidR="00000000" w:rsidDel="00000000" w:rsidP="00000000" w:rsidRDefault="00000000" w:rsidRPr="00000000" w14:paraId="00000011">
      <w:pPr>
        <w:numPr>
          <w:ilvl w:val="0"/>
          <w:numId w:val="1"/>
        </w:numPr>
        <w:spacing w:after="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Tuberculosis (subject to workplace/travel risk assessment)</w:t>
      </w:r>
    </w:p>
    <w:p w:rsidR="00000000" w:rsidDel="00000000" w:rsidP="00000000" w:rsidRDefault="00000000" w:rsidRPr="00000000" w14:paraId="00000012">
      <w:pPr>
        <w:spacing w:after="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If a member of staff is unsure as to whether they are up-to-date, it is recommended that they visit their GP or practice nurse for their own good health.</w:t>
      </w:r>
    </w:p>
    <w:tbl>
      <w:tblPr>
        <w:tblStyle w:val="Table1"/>
        <w:tblW w:w="1047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65"/>
        <w:gridCol w:w="3825"/>
        <w:gridCol w:w="4980"/>
        <w:tblGridChange w:id="0">
          <w:tblGrid>
            <w:gridCol w:w="1665"/>
            <w:gridCol w:w="3825"/>
            <w:gridCol w:w="4980"/>
          </w:tblGrid>
        </w:tblGridChange>
      </w:tblGrid>
      <w:tr>
        <w:trPr>
          <w:cantSplit w:val="0"/>
          <w:trHeight w:val="540" w:hRule="atLeast"/>
          <w:tblHeader w:val="0"/>
        </w:trPr>
        <w:tc>
          <w:tcPr>
            <w:tcBorders>
              <w:top w:color="c4c7c5" w:space="0" w:sz="5" w:val="single"/>
              <w:left w:color="c4c7c5" w:space="0" w:sz="5" w:val="single"/>
              <w:bottom w:color="c4c7c5" w:space="0" w:sz="5" w:val="single"/>
              <w:right w:color="c4c7c5" w:space="0" w:sz="5" w:val="single"/>
            </w:tcBorders>
            <w:tcMar>
              <w:top w:w="120.0" w:type="dxa"/>
              <w:left w:w="180.0" w:type="dxa"/>
              <w:bottom w:w="120.0" w:type="dxa"/>
              <w:right w:w="180.0" w:type="dxa"/>
            </w:tcMar>
            <w:vAlign w:val="top"/>
          </w:tcPr>
          <w:p w:rsidR="00000000" w:rsidDel="00000000" w:rsidP="00000000" w:rsidRDefault="00000000" w:rsidRPr="00000000" w14:paraId="00000013">
            <w:pPr>
              <w:spacing w:after="480" w:lineRule="auto"/>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Age Due</w:t>
            </w:r>
            <w:r w:rsidDel="00000000" w:rsidR="00000000" w:rsidRPr="00000000">
              <w:rPr>
                <w:rtl w:val="0"/>
              </w:rPr>
            </w:r>
          </w:p>
        </w:tc>
        <w:tc>
          <w:tcPr>
            <w:tcBorders>
              <w:top w:color="c4c7c5" w:space="0" w:sz="5" w:val="single"/>
              <w:left w:color="c4c7c5" w:space="0" w:sz="5" w:val="single"/>
              <w:bottom w:color="c4c7c5" w:space="0" w:sz="5" w:val="single"/>
              <w:right w:color="c4c7c5" w:space="0" w:sz="5" w:val="single"/>
            </w:tcBorders>
            <w:tcMar>
              <w:top w:w="120.0" w:type="dxa"/>
              <w:left w:w="180.0" w:type="dxa"/>
              <w:bottom w:w="120.0" w:type="dxa"/>
              <w:right w:w="180.0" w:type="dxa"/>
            </w:tcMar>
            <w:vAlign w:val="top"/>
          </w:tcPr>
          <w:p w:rsidR="00000000" w:rsidDel="00000000" w:rsidP="00000000" w:rsidRDefault="00000000" w:rsidRPr="00000000" w14:paraId="00000014">
            <w:pPr>
              <w:spacing w:after="480" w:lineRule="auto"/>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Protection From</w:t>
            </w:r>
            <w:r w:rsidDel="00000000" w:rsidR="00000000" w:rsidRPr="00000000">
              <w:rPr>
                <w:rtl w:val="0"/>
              </w:rPr>
            </w:r>
          </w:p>
        </w:tc>
        <w:tc>
          <w:tcPr>
            <w:tcBorders>
              <w:top w:color="c4c7c5" w:space="0" w:sz="5" w:val="single"/>
              <w:left w:color="c4c7c5" w:space="0" w:sz="5" w:val="single"/>
              <w:bottom w:color="c4c7c5" w:space="0" w:sz="5" w:val="single"/>
              <w:right w:color="c4c7c5" w:space="0" w:sz="5" w:val="single"/>
            </w:tcBorders>
            <w:tcMar>
              <w:top w:w="120.0" w:type="dxa"/>
              <w:left w:w="180.0" w:type="dxa"/>
              <w:bottom w:w="120.0" w:type="dxa"/>
              <w:right w:w="180.0" w:type="dxa"/>
            </w:tcMar>
            <w:vAlign w:val="top"/>
          </w:tcPr>
          <w:p w:rsidR="00000000" w:rsidDel="00000000" w:rsidP="00000000" w:rsidRDefault="00000000" w:rsidRPr="00000000" w14:paraId="00000015">
            <w:pPr>
              <w:spacing w:after="480" w:lineRule="auto"/>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Vaccine Given</w:t>
            </w:r>
            <w:r w:rsidDel="00000000" w:rsidR="00000000" w:rsidRPr="00000000">
              <w:rPr>
                <w:rtl w:val="0"/>
              </w:rPr>
            </w:r>
          </w:p>
        </w:tc>
      </w:tr>
      <w:tr>
        <w:trPr>
          <w:cantSplit w:val="0"/>
          <w:trHeight w:val="2475" w:hRule="atLeast"/>
          <w:tblHeader w:val="0"/>
        </w:trPr>
        <w:tc>
          <w:tcPr>
            <w:tcBorders>
              <w:top w:color="c4c7c5" w:space="0" w:sz="5" w:val="single"/>
              <w:left w:color="c4c7c5" w:space="0" w:sz="5" w:val="single"/>
              <w:bottom w:color="c4c7c5" w:space="0" w:sz="5" w:val="single"/>
              <w:right w:color="c4c7c5" w:space="0" w:sz="5" w:val="single"/>
            </w:tcBorders>
            <w:tcMar>
              <w:top w:w="120.0" w:type="dxa"/>
              <w:left w:w="180.0" w:type="dxa"/>
              <w:bottom w:w="120.0" w:type="dxa"/>
              <w:right w:w="180.0" w:type="dxa"/>
            </w:tcMar>
            <w:vAlign w:val="top"/>
          </w:tcPr>
          <w:p w:rsidR="00000000" w:rsidDel="00000000" w:rsidP="00000000" w:rsidRDefault="00000000" w:rsidRPr="00000000" w14:paraId="00000016">
            <w:pPr>
              <w:spacing w:after="480" w:lineRule="auto"/>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8 Weeks</w:t>
            </w:r>
            <w:r w:rsidDel="00000000" w:rsidR="00000000" w:rsidRPr="00000000">
              <w:rPr>
                <w:rtl w:val="0"/>
              </w:rPr>
            </w:r>
          </w:p>
        </w:tc>
        <w:tc>
          <w:tcPr>
            <w:tcBorders>
              <w:top w:color="c4c7c5" w:space="0" w:sz="5" w:val="single"/>
              <w:left w:color="c4c7c5" w:space="0" w:sz="5" w:val="single"/>
              <w:bottom w:color="c4c7c5" w:space="0" w:sz="5" w:val="single"/>
              <w:right w:color="c4c7c5" w:space="0" w:sz="5" w:val="single"/>
            </w:tcBorders>
            <w:tcMar>
              <w:top w:w="120.0" w:type="dxa"/>
              <w:left w:w="180.0" w:type="dxa"/>
              <w:bottom w:w="120.0" w:type="dxa"/>
              <w:right w:w="180.0" w:type="dxa"/>
            </w:tcMar>
            <w:vAlign w:val="top"/>
          </w:tcPr>
          <w:p w:rsidR="00000000" w:rsidDel="00000000" w:rsidP="00000000" w:rsidRDefault="00000000" w:rsidRPr="00000000" w14:paraId="00000017">
            <w:pPr>
              <w:spacing w:after="48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Diphtheria, tetanus, pertussis (whooping cough), polio, Haemophilus influenzae type b (Hib) &amp; hepatitis B</w:t>
            </w:r>
          </w:p>
          <w:p w:rsidR="00000000" w:rsidDel="00000000" w:rsidP="00000000" w:rsidRDefault="00000000" w:rsidRPr="00000000" w14:paraId="00000018">
            <w:pPr>
              <w:spacing w:after="48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9">
            <w:pPr>
              <w:spacing w:after="48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Meningococcal group B (MenB)</w:t>
            </w:r>
          </w:p>
          <w:p w:rsidR="00000000" w:rsidDel="00000000" w:rsidP="00000000" w:rsidRDefault="00000000" w:rsidRPr="00000000" w14:paraId="0000001A">
            <w:pPr>
              <w:spacing w:after="48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B">
            <w:pPr>
              <w:spacing w:after="48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Rotavirus gastroenteritis</w:t>
            </w:r>
          </w:p>
        </w:tc>
        <w:tc>
          <w:tcPr>
            <w:tcBorders>
              <w:top w:color="c4c7c5" w:space="0" w:sz="5" w:val="single"/>
              <w:left w:color="c4c7c5" w:space="0" w:sz="5" w:val="single"/>
              <w:bottom w:color="c4c7c5" w:space="0" w:sz="5" w:val="single"/>
              <w:right w:color="c4c7c5" w:space="0" w:sz="5" w:val="single"/>
            </w:tcBorders>
            <w:tcMar>
              <w:top w:w="120.0" w:type="dxa"/>
              <w:left w:w="180.0" w:type="dxa"/>
              <w:bottom w:w="120.0" w:type="dxa"/>
              <w:right w:w="180.0" w:type="dxa"/>
            </w:tcMar>
            <w:vAlign w:val="top"/>
          </w:tcPr>
          <w:p w:rsidR="00000000" w:rsidDel="00000000" w:rsidP="00000000" w:rsidRDefault="00000000" w:rsidRPr="00000000" w14:paraId="0000001C">
            <w:pPr>
              <w:spacing w:after="48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6-in-1 (DTaP/IPV/Hib/HepB)</w:t>
            </w:r>
          </w:p>
          <w:p w:rsidR="00000000" w:rsidDel="00000000" w:rsidP="00000000" w:rsidRDefault="00000000" w:rsidRPr="00000000" w14:paraId="0000001D">
            <w:pPr>
              <w:spacing w:after="48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E">
            <w:pPr>
              <w:spacing w:after="48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MenB (1st dose)</w:t>
            </w:r>
          </w:p>
          <w:p w:rsidR="00000000" w:rsidDel="00000000" w:rsidP="00000000" w:rsidRDefault="00000000" w:rsidRPr="00000000" w14:paraId="0000001F">
            <w:pPr>
              <w:spacing w:after="48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0">
            <w:pPr>
              <w:spacing w:after="48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Rotavirus (1st dose)</w:t>
            </w:r>
          </w:p>
        </w:tc>
      </w:tr>
      <w:tr>
        <w:trPr>
          <w:cantSplit w:val="0"/>
          <w:trHeight w:val="2190" w:hRule="atLeast"/>
          <w:tblHeader w:val="0"/>
        </w:trPr>
        <w:tc>
          <w:tcPr>
            <w:tcBorders>
              <w:top w:color="c4c7c5" w:space="0" w:sz="5" w:val="single"/>
              <w:left w:color="c4c7c5" w:space="0" w:sz="5" w:val="single"/>
              <w:bottom w:color="c4c7c5" w:space="0" w:sz="5" w:val="single"/>
              <w:right w:color="c4c7c5" w:space="0" w:sz="5" w:val="single"/>
            </w:tcBorders>
            <w:tcMar>
              <w:top w:w="120.0" w:type="dxa"/>
              <w:left w:w="180.0" w:type="dxa"/>
              <w:bottom w:w="120.0" w:type="dxa"/>
              <w:right w:w="180.0" w:type="dxa"/>
            </w:tcMar>
            <w:vAlign w:val="top"/>
          </w:tcPr>
          <w:p w:rsidR="00000000" w:rsidDel="00000000" w:rsidP="00000000" w:rsidRDefault="00000000" w:rsidRPr="00000000" w14:paraId="00000021">
            <w:pPr>
              <w:spacing w:after="480" w:lineRule="auto"/>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12 Weeks</w:t>
            </w:r>
            <w:r w:rsidDel="00000000" w:rsidR="00000000" w:rsidRPr="00000000">
              <w:rPr>
                <w:rtl w:val="0"/>
              </w:rPr>
            </w:r>
          </w:p>
        </w:tc>
        <w:tc>
          <w:tcPr>
            <w:tcBorders>
              <w:top w:color="c4c7c5" w:space="0" w:sz="5" w:val="single"/>
              <w:left w:color="c4c7c5" w:space="0" w:sz="5" w:val="single"/>
              <w:bottom w:color="c4c7c5" w:space="0" w:sz="5" w:val="single"/>
              <w:right w:color="c4c7c5" w:space="0" w:sz="5" w:val="single"/>
            </w:tcBorders>
            <w:tcMar>
              <w:top w:w="120.0" w:type="dxa"/>
              <w:left w:w="180.0" w:type="dxa"/>
              <w:bottom w:w="120.0" w:type="dxa"/>
              <w:right w:w="180.0" w:type="dxa"/>
            </w:tcMar>
            <w:vAlign w:val="top"/>
          </w:tcPr>
          <w:p w:rsidR="00000000" w:rsidDel="00000000" w:rsidP="00000000" w:rsidRDefault="00000000" w:rsidRPr="00000000" w14:paraId="00000022">
            <w:pPr>
              <w:spacing w:after="48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Diphtheria, tetanus, pertussis (whooping cough), polio, Hib &amp; HepB</w:t>
            </w:r>
          </w:p>
          <w:p w:rsidR="00000000" w:rsidDel="00000000" w:rsidP="00000000" w:rsidRDefault="00000000" w:rsidRPr="00000000" w14:paraId="00000023">
            <w:pPr>
              <w:spacing w:after="48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4">
            <w:pPr>
              <w:spacing w:after="48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Meningococcal group B (MenB)</w:t>
            </w:r>
          </w:p>
          <w:p w:rsidR="00000000" w:rsidDel="00000000" w:rsidP="00000000" w:rsidRDefault="00000000" w:rsidRPr="00000000" w14:paraId="00000025">
            <w:pPr>
              <w:spacing w:after="48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6">
            <w:pPr>
              <w:spacing w:after="48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Rotavirus gastroenteritis</w:t>
            </w:r>
          </w:p>
        </w:tc>
        <w:tc>
          <w:tcPr>
            <w:tcBorders>
              <w:top w:color="c4c7c5" w:space="0" w:sz="5" w:val="single"/>
              <w:left w:color="c4c7c5" w:space="0" w:sz="5" w:val="single"/>
              <w:bottom w:color="c4c7c5" w:space="0" w:sz="5" w:val="single"/>
              <w:right w:color="c4c7c5" w:space="0" w:sz="5" w:val="single"/>
            </w:tcBorders>
            <w:tcMar>
              <w:top w:w="120.0" w:type="dxa"/>
              <w:left w:w="180.0" w:type="dxa"/>
              <w:bottom w:w="120.0" w:type="dxa"/>
              <w:right w:w="180.0" w:type="dxa"/>
            </w:tcMar>
            <w:vAlign w:val="top"/>
          </w:tcPr>
          <w:p w:rsidR="00000000" w:rsidDel="00000000" w:rsidP="00000000" w:rsidRDefault="00000000" w:rsidRPr="00000000" w14:paraId="00000027">
            <w:pPr>
              <w:spacing w:after="48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6-in-1 (2nd dose)</w:t>
            </w:r>
          </w:p>
          <w:p w:rsidR="00000000" w:rsidDel="00000000" w:rsidP="00000000" w:rsidRDefault="00000000" w:rsidRPr="00000000" w14:paraId="00000028">
            <w:pPr>
              <w:spacing w:after="48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9">
            <w:pPr>
              <w:spacing w:after="48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MenB (2nd dose)</w:t>
            </w:r>
          </w:p>
          <w:p w:rsidR="00000000" w:rsidDel="00000000" w:rsidP="00000000" w:rsidRDefault="00000000" w:rsidRPr="00000000" w14:paraId="0000002A">
            <w:pPr>
              <w:spacing w:after="48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B">
            <w:pPr>
              <w:spacing w:after="48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Rotavirus (2nd dose)</w:t>
            </w:r>
          </w:p>
        </w:tc>
      </w:tr>
      <w:tr>
        <w:trPr>
          <w:cantSplit w:val="0"/>
          <w:trHeight w:val="1650" w:hRule="atLeast"/>
          <w:tblHeader w:val="0"/>
        </w:trPr>
        <w:tc>
          <w:tcPr>
            <w:tcBorders>
              <w:top w:color="c4c7c5" w:space="0" w:sz="5" w:val="single"/>
              <w:left w:color="c4c7c5" w:space="0" w:sz="5" w:val="single"/>
              <w:bottom w:color="c4c7c5" w:space="0" w:sz="5" w:val="single"/>
              <w:right w:color="c4c7c5" w:space="0" w:sz="5" w:val="single"/>
            </w:tcBorders>
            <w:tcMar>
              <w:top w:w="120.0" w:type="dxa"/>
              <w:left w:w="180.0" w:type="dxa"/>
              <w:bottom w:w="120.0" w:type="dxa"/>
              <w:right w:w="180.0" w:type="dxa"/>
            </w:tcMar>
            <w:vAlign w:val="top"/>
          </w:tcPr>
          <w:p w:rsidR="00000000" w:rsidDel="00000000" w:rsidP="00000000" w:rsidRDefault="00000000" w:rsidRPr="00000000" w14:paraId="0000002C">
            <w:pPr>
              <w:spacing w:after="480" w:lineRule="auto"/>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16 Weeks</w:t>
            </w:r>
            <w:r w:rsidDel="00000000" w:rsidR="00000000" w:rsidRPr="00000000">
              <w:rPr>
                <w:rtl w:val="0"/>
              </w:rPr>
            </w:r>
          </w:p>
        </w:tc>
        <w:tc>
          <w:tcPr>
            <w:tcBorders>
              <w:top w:color="c4c7c5" w:space="0" w:sz="5" w:val="single"/>
              <w:left w:color="c4c7c5" w:space="0" w:sz="5" w:val="single"/>
              <w:bottom w:color="c4c7c5" w:space="0" w:sz="5" w:val="single"/>
              <w:right w:color="c4c7c5" w:space="0" w:sz="5" w:val="single"/>
            </w:tcBorders>
            <w:tcMar>
              <w:top w:w="120.0" w:type="dxa"/>
              <w:left w:w="180.0" w:type="dxa"/>
              <w:bottom w:w="120.0" w:type="dxa"/>
              <w:right w:w="180.0" w:type="dxa"/>
            </w:tcMar>
            <w:vAlign w:val="top"/>
          </w:tcPr>
          <w:p w:rsidR="00000000" w:rsidDel="00000000" w:rsidP="00000000" w:rsidRDefault="00000000" w:rsidRPr="00000000" w14:paraId="0000002D">
            <w:pPr>
              <w:spacing w:after="48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Diphtheria, tetanus, pertussis (whooping cough), polio, Hib &amp; HepB</w:t>
            </w:r>
          </w:p>
          <w:p w:rsidR="00000000" w:rsidDel="00000000" w:rsidP="00000000" w:rsidRDefault="00000000" w:rsidRPr="00000000" w14:paraId="0000002E">
            <w:pPr>
              <w:spacing w:after="48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F">
            <w:pPr>
              <w:spacing w:after="48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Pneumococcal disease</w:t>
            </w:r>
          </w:p>
        </w:tc>
        <w:tc>
          <w:tcPr>
            <w:tcBorders>
              <w:top w:color="c4c7c5" w:space="0" w:sz="5" w:val="single"/>
              <w:left w:color="c4c7c5" w:space="0" w:sz="5" w:val="single"/>
              <w:bottom w:color="c4c7c5" w:space="0" w:sz="5" w:val="single"/>
              <w:right w:color="c4c7c5" w:space="0" w:sz="5" w:val="single"/>
            </w:tcBorders>
            <w:tcMar>
              <w:top w:w="120.0" w:type="dxa"/>
              <w:left w:w="180.0" w:type="dxa"/>
              <w:bottom w:w="120.0" w:type="dxa"/>
              <w:right w:w="180.0" w:type="dxa"/>
            </w:tcMar>
            <w:vAlign w:val="top"/>
          </w:tcPr>
          <w:p w:rsidR="00000000" w:rsidDel="00000000" w:rsidP="00000000" w:rsidRDefault="00000000" w:rsidRPr="00000000" w14:paraId="00000030">
            <w:pPr>
              <w:spacing w:after="48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6-in-1 (3rd dose)</w:t>
            </w:r>
          </w:p>
          <w:p w:rsidR="00000000" w:rsidDel="00000000" w:rsidP="00000000" w:rsidRDefault="00000000" w:rsidRPr="00000000" w14:paraId="00000031">
            <w:pPr>
              <w:spacing w:after="48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2">
            <w:pPr>
              <w:spacing w:after="48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Pneumococcal conjugate (PCV)</w:t>
            </w:r>
          </w:p>
        </w:tc>
      </w:tr>
      <w:tr>
        <w:trPr>
          <w:cantSplit w:val="0"/>
          <w:trHeight w:val="1920" w:hRule="atLeast"/>
          <w:tblHeader w:val="0"/>
        </w:trPr>
        <w:tc>
          <w:tcPr>
            <w:tcBorders>
              <w:top w:color="c4c7c5" w:space="0" w:sz="5" w:val="single"/>
              <w:left w:color="c4c7c5" w:space="0" w:sz="5" w:val="single"/>
              <w:bottom w:color="c4c7c5" w:space="0" w:sz="5" w:val="single"/>
              <w:right w:color="c4c7c5" w:space="0" w:sz="5" w:val="single"/>
            </w:tcBorders>
            <w:tcMar>
              <w:top w:w="120.0" w:type="dxa"/>
              <w:left w:w="180.0" w:type="dxa"/>
              <w:bottom w:w="120.0" w:type="dxa"/>
              <w:right w:w="180.0" w:type="dxa"/>
            </w:tcMar>
            <w:vAlign w:val="top"/>
          </w:tcPr>
          <w:p w:rsidR="00000000" w:rsidDel="00000000" w:rsidP="00000000" w:rsidRDefault="00000000" w:rsidRPr="00000000" w14:paraId="00000033">
            <w:pPr>
              <w:spacing w:after="480" w:lineRule="auto"/>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12–13 Months</w:t>
            </w:r>
            <w:r w:rsidDel="00000000" w:rsidR="00000000" w:rsidRPr="00000000">
              <w:rPr>
                <w:rtl w:val="0"/>
              </w:rPr>
            </w:r>
          </w:p>
        </w:tc>
        <w:tc>
          <w:tcPr>
            <w:tcBorders>
              <w:top w:color="c4c7c5" w:space="0" w:sz="5" w:val="single"/>
              <w:left w:color="c4c7c5" w:space="0" w:sz="5" w:val="single"/>
              <w:bottom w:color="c4c7c5" w:space="0" w:sz="5" w:val="single"/>
              <w:right w:color="c4c7c5" w:space="0" w:sz="5" w:val="single"/>
            </w:tcBorders>
            <w:tcMar>
              <w:top w:w="120.0" w:type="dxa"/>
              <w:left w:w="180.0" w:type="dxa"/>
              <w:bottom w:w="120.0" w:type="dxa"/>
              <w:right w:w="180.0" w:type="dxa"/>
            </w:tcMar>
            <w:vAlign w:val="top"/>
          </w:tcPr>
          <w:p w:rsidR="00000000" w:rsidDel="00000000" w:rsidP="00000000" w:rsidRDefault="00000000" w:rsidRPr="00000000" w14:paraId="00000034">
            <w:pPr>
              <w:spacing w:after="48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Meningococcal group B (MenB)</w:t>
            </w:r>
          </w:p>
          <w:p w:rsidR="00000000" w:rsidDel="00000000" w:rsidP="00000000" w:rsidRDefault="00000000" w:rsidRPr="00000000" w14:paraId="00000035">
            <w:pPr>
              <w:spacing w:after="48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6">
            <w:pPr>
              <w:spacing w:after="48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Pneumococcal disease</w:t>
            </w:r>
          </w:p>
          <w:p w:rsidR="00000000" w:rsidDel="00000000" w:rsidP="00000000" w:rsidRDefault="00000000" w:rsidRPr="00000000" w14:paraId="00000037">
            <w:pPr>
              <w:spacing w:after="48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8">
            <w:pPr>
              <w:spacing w:after="48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Measles, mumps, rubella &amp; varicella (chickenpox)</w:t>
            </w:r>
          </w:p>
        </w:tc>
        <w:tc>
          <w:tcPr>
            <w:tcBorders>
              <w:top w:color="c4c7c5" w:space="0" w:sz="5" w:val="single"/>
              <w:left w:color="c4c7c5" w:space="0" w:sz="5" w:val="single"/>
              <w:bottom w:color="c4c7c5" w:space="0" w:sz="5" w:val="single"/>
              <w:right w:color="c4c7c5" w:space="0" w:sz="5" w:val="single"/>
            </w:tcBorders>
            <w:tcMar>
              <w:top w:w="120.0" w:type="dxa"/>
              <w:left w:w="180.0" w:type="dxa"/>
              <w:bottom w:w="120.0" w:type="dxa"/>
              <w:right w:w="180.0" w:type="dxa"/>
            </w:tcMar>
            <w:vAlign w:val="top"/>
          </w:tcPr>
          <w:p w:rsidR="00000000" w:rsidDel="00000000" w:rsidP="00000000" w:rsidRDefault="00000000" w:rsidRPr="00000000" w14:paraId="00000039">
            <w:pPr>
              <w:spacing w:after="48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MenB Booster</w:t>
            </w:r>
          </w:p>
          <w:p w:rsidR="00000000" w:rsidDel="00000000" w:rsidP="00000000" w:rsidRDefault="00000000" w:rsidRPr="00000000" w14:paraId="0000003A">
            <w:pPr>
              <w:spacing w:after="48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B">
            <w:pPr>
              <w:spacing w:after="48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PCV Booster</w:t>
            </w:r>
          </w:p>
          <w:p w:rsidR="00000000" w:rsidDel="00000000" w:rsidP="00000000" w:rsidRDefault="00000000" w:rsidRPr="00000000" w14:paraId="0000003C">
            <w:pPr>
              <w:spacing w:after="48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D">
            <w:pPr>
              <w:spacing w:after="48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MMR or MMRV (1st dose)</w:t>
            </w:r>
          </w:p>
        </w:tc>
      </w:tr>
      <w:tr>
        <w:trPr>
          <w:cantSplit w:val="0"/>
          <w:trHeight w:val="1920" w:hRule="atLeast"/>
          <w:tblHeader w:val="0"/>
        </w:trPr>
        <w:tc>
          <w:tcPr>
            <w:tcBorders>
              <w:top w:color="c4c7c5" w:space="0" w:sz="5" w:val="single"/>
              <w:left w:color="c4c7c5" w:space="0" w:sz="5" w:val="single"/>
              <w:bottom w:color="c4c7c5" w:space="0" w:sz="5" w:val="single"/>
              <w:right w:color="c4c7c5" w:space="0" w:sz="5" w:val="single"/>
            </w:tcBorders>
            <w:tcMar>
              <w:top w:w="120.0" w:type="dxa"/>
              <w:left w:w="180.0" w:type="dxa"/>
              <w:bottom w:w="120.0" w:type="dxa"/>
              <w:right w:w="180.0" w:type="dxa"/>
            </w:tcMar>
            <w:vAlign w:val="top"/>
          </w:tcPr>
          <w:p w:rsidR="00000000" w:rsidDel="00000000" w:rsidP="00000000" w:rsidRDefault="00000000" w:rsidRPr="00000000" w14:paraId="0000003E">
            <w:pPr>
              <w:spacing w:after="480" w:lineRule="auto"/>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18 Months</w:t>
            </w:r>
            <w:r w:rsidDel="00000000" w:rsidR="00000000" w:rsidRPr="00000000">
              <w:rPr>
                <w:rtl w:val="0"/>
              </w:rPr>
            </w:r>
          </w:p>
        </w:tc>
        <w:tc>
          <w:tcPr>
            <w:tcBorders>
              <w:top w:color="c4c7c5" w:space="0" w:sz="5" w:val="single"/>
              <w:left w:color="c4c7c5" w:space="0" w:sz="5" w:val="single"/>
              <w:bottom w:color="c4c7c5" w:space="0" w:sz="5" w:val="single"/>
              <w:right w:color="c4c7c5" w:space="0" w:sz="5" w:val="single"/>
            </w:tcBorders>
            <w:tcMar>
              <w:top w:w="120.0" w:type="dxa"/>
              <w:left w:w="180.0" w:type="dxa"/>
              <w:bottom w:w="120.0" w:type="dxa"/>
              <w:right w:w="180.0" w:type="dxa"/>
            </w:tcMar>
            <w:vAlign w:val="top"/>
          </w:tcPr>
          <w:p w:rsidR="00000000" w:rsidDel="00000000" w:rsidP="00000000" w:rsidRDefault="00000000" w:rsidRPr="00000000" w14:paraId="0000003F">
            <w:pPr>
              <w:spacing w:after="48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Diphtheria, tetanus, pertussis (whooping cough), polio, Hib &amp; HepB</w:t>
            </w:r>
          </w:p>
          <w:p w:rsidR="00000000" w:rsidDel="00000000" w:rsidP="00000000" w:rsidRDefault="00000000" w:rsidRPr="00000000" w14:paraId="00000040">
            <w:pPr>
              <w:spacing w:after="48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1">
            <w:pPr>
              <w:spacing w:after="48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Measles, mumps, rubella &amp; varicella (chickenpox)</w:t>
            </w:r>
          </w:p>
        </w:tc>
        <w:tc>
          <w:tcPr>
            <w:tcBorders>
              <w:top w:color="c4c7c5" w:space="0" w:sz="5" w:val="single"/>
              <w:left w:color="c4c7c5" w:space="0" w:sz="5" w:val="single"/>
              <w:bottom w:color="c4c7c5" w:space="0" w:sz="5" w:val="single"/>
              <w:right w:color="c4c7c5" w:space="0" w:sz="5" w:val="single"/>
            </w:tcBorders>
            <w:tcMar>
              <w:top w:w="120.0" w:type="dxa"/>
              <w:left w:w="180.0" w:type="dxa"/>
              <w:bottom w:w="120.0" w:type="dxa"/>
              <w:right w:w="180.0" w:type="dxa"/>
            </w:tcMar>
            <w:vAlign w:val="top"/>
          </w:tcPr>
          <w:p w:rsidR="00000000" w:rsidDel="00000000" w:rsidP="00000000" w:rsidRDefault="00000000" w:rsidRPr="00000000" w14:paraId="00000042">
            <w:pPr>
              <w:spacing w:after="48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6-in-1 (4th dose booster)</w:t>
            </w:r>
          </w:p>
          <w:p w:rsidR="00000000" w:rsidDel="00000000" w:rsidP="00000000" w:rsidRDefault="00000000" w:rsidRPr="00000000" w14:paraId="00000043">
            <w:pPr>
              <w:spacing w:after="48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4">
            <w:pPr>
              <w:spacing w:after="48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MMRV (2nd dose)</w:t>
            </w:r>
          </w:p>
        </w:tc>
      </w:tr>
      <w:tr>
        <w:trPr>
          <w:cantSplit w:val="0"/>
          <w:trHeight w:val="810" w:hRule="atLeast"/>
          <w:tblHeader w:val="0"/>
        </w:trPr>
        <w:tc>
          <w:tcPr>
            <w:tcBorders>
              <w:top w:color="c4c7c5" w:space="0" w:sz="5" w:val="single"/>
              <w:left w:color="c4c7c5" w:space="0" w:sz="5" w:val="single"/>
              <w:bottom w:color="c4c7c5" w:space="0" w:sz="5" w:val="single"/>
              <w:right w:color="c4c7c5" w:space="0" w:sz="5" w:val="single"/>
            </w:tcBorders>
            <w:tcMar>
              <w:top w:w="120.0" w:type="dxa"/>
              <w:left w:w="180.0" w:type="dxa"/>
              <w:bottom w:w="120.0" w:type="dxa"/>
              <w:right w:w="180.0" w:type="dxa"/>
            </w:tcMar>
            <w:vAlign w:val="top"/>
          </w:tcPr>
          <w:p w:rsidR="00000000" w:rsidDel="00000000" w:rsidP="00000000" w:rsidRDefault="00000000" w:rsidRPr="00000000" w14:paraId="00000045">
            <w:pPr>
              <w:spacing w:after="480" w:lineRule="auto"/>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2–5 Years</w:t>
            </w:r>
            <w:r w:rsidDel="00000000" w:rsidR="00000000" w:rsidRPr="00000000">
              <w:rPr>
                <w:rFonts w:ascii="Calibri" w:cs="Calibri" w:eastAsia="Calibri" w:hAnsi="Calibri"/>
                <w:sz w:val="24"/>
                <w:szCs w:val="24"/>
                <w:rtl w:val="0"/>
              </w:rPr>
              <w:t xml:space="preserve"> (annually)</w:t>
            </w:r>
          </w:p>
        </w:tc>
        <w:tc>
          <w:tcPr>
            <w:tcBorders>
              <w:top w:color="c4c7c5" w:space="0" w:sz="5" w:val="single"/>
              <w:left w:color="c4c7c5" w:space="0" w:sz="5" w:val="single"/>
              <w:bottom w:color="c4c7c5" w:space="0" w:sz="5" w:val="single"/>
              <w:right w:color="c4c7c5" w:space="0" w:sz="5" w:val="single"/>
            </w:tcBorders>
            <w:tcMar>
              <w:top w:w="120.0" w:type="dxa"/>
              <w:left w:w="180.0" w:type="dxa"/>
              <w:bottom w:w="120.0" w:type="dxa"/>
              <w:right w:w="180.0" w:type="dxa"/>
            </w:tcMar>
            <w:vAlign w:val="top"/>
          </w:tcPr>
          <w:p w:rsidR="00000000" w:rsidDel="00000000" w:rsidP="00000000" w:rsidRDefault="00000000" w:rsidRPr="00000000" w14:paraId="00000046">
            <w:pPr>
              <w:spacing w:after="48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Influenza (Flu)</w:t>
            </w:r>
          </w:p>
        </w:tc>
        <w:tc>
          <w:tcPr>
            <w:tcBorders>
              <w:top w:color="c4c7c5" w:space="0" w:sz="5" w:val="single"/>
              <w:left w:color="c4c7c5" w:space="0" w:sz="5" w:val="single"/>
              <w:bottom w:color="c4c7c5" w:space="0" w:sz="5" w:val="single"/>
              <w:right w:color="c4c7c5" w:space="0" w:sz="5" w:val="single"/>
            </w:tcBorders>
            <w:tcMar>
              <w:top w:w="120.0" w:type="dxa"/>
              <w:left w:w="180.0" w:type="dxa"/>
              <w:bottom w:w="120.0" w:type="dxa"/>
              <w:right w:w="180.0" w:type="dxa"/>
            </w:tcMar>
            <w:vAlign w:val="top"/>
          </w:tcPr>
          <w:p w:rsidR="00000000" w:rsidDel="00000000" w:rsidP="00000000" w:rsidRDefault="00000000" w:rsidRPr="00000000" w14:paraId="00000047">
            <w:pPr>
              <w:spacing w:after="48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Live attenuated influenza vaccine LAIV (Nasal Spray)</w:t>
            </w:r>
          </w:p>
        </w:tc>
      </w:tr>
      <w:tr>
        <w:trPr>
          <w:cantSplit w:val="0"/>
          <w:trHeight w:val="1650" w:hRule="atLeast"/>
          <w:tblHeader w:val="0"/>
        </w:trPr>
        <w:tc>
          <w:tcPr>
            <w:tcBorders>
              <w:top w:color="c4c7c5" w:space="0" w:sz="5" w:val="single"/>
              <w:left w:color="c4c7c5" w:space="0" w:sz="5" w:val="single"/>
              <w:bottom w:color="c4c7c5" w:space="0" w:sz="5" w:val="single"/>
              <w:right w:color="c4c7c5" w:space="0" w:sz="5" w:val="single"/>
            </w:tcBorders>
            <w:tcMar>
              <w:top w:w="120.0" w:type="dxa"/>
              <w:left w:w="180.0" w:type="dxa"/>
              <w:bottom w:w="120.0" w:type="dxa"/>
              <w:right w:w="180.0" w:type="dxa"/>
            </w:tcMar>
            <w:vAlign w:val="top"/>
          </w:tcPr>
          <w:p w:rsidR="00000000" w:rsidDel="00000000" w:rsidP="00000000" w:rsidRDefault="00000000" w:rsidRPr="00000000" w14:paraId="00000048">
            <w:pPr>
              <w:spacing w:after="480" w:lineRule="auto"/>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3 Years 4 Months</w:t>
            </w:r>
            <w:r w:rsidDel="00000000" w:rsidR="00000000" w:rsidRPr="00000000">
              <w:rPr>
                <w:rtl w:val="0"/>
              </w:rPr>
            </w:r>
          </w:p>
        </w:tc>
        <w:tc>
          <w:tcPr>
            <w:tcBorders>
              <w:top w:color="c4c7c5" w:space="0" w:sz="5" w:val="single"/>
              <w:left w:color="c4c7c5" w:space="0" w:sz="5" w:val="single"/>
              <w:bottom w:color="c4c7c5" w:space="0" w:sz="5" w:val="single"/>
              <w:right w:color="c4c7c5" w:space="0" w:sz="5" w:val="single"/>
            </w:tcBorders>
            <w:tcMar>
              <w:top w:w="120.0" w:type="dxa"/>
              <w:left w:w="180.0" w:type="dxa"/>
              <w:bottom w:w="120.0" w:type="dxa"/>
              <w:right w:w="180.0" w:type="dxa"/>
            </w:tcMar>
            <w:vAlign w:val="top"/>
          </w:tcPr>
          <w:p w:rsidR="00000000" w:rsidDel="00000000" w:rsidP="00000000" w:rsidRDefault="00000000" w:rsidRPr="00000000" w14:paraId="00000049">
            <w:pPr>
              <w:spacing w:after="48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Diphtheria, tetanus, pertussis (whooping cough) &amp; polio</w:t>
            </w:r>
          </w:p>
          <w:p w:rsidR="00000000" w:rsidDel="00000000" w:rsidP="00000000" w:rsidRDefault="00000000" w:rsidRPr="00000000" w14:paraId="0000004A">
            <w:pPr>
              <w:spacing w:after="48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B">
            <w:pPr>
              <w:spacing w:after="48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Measles, mumps, rubella &amp; varicella (chickenpox)</w:t>
            </w:r>
          </w:p>
        </w:tc>
        <w:tc>
          <w:tcPr>
            <w:tcBorders>
              <w:top w:color="c4c7c5" w:space="0" w:sz="5" w:val="single"/>
              <w:left w:color="c4c7c5" w:space="0" w:sz="5" w:val="single"/>
              <w:bottom w:color="c4c7c5" w:space="0" w:sz="5" w:val="single"/>
              <w:right w:color="c4c7c5" w:space="0" w:sz="5" w:val="single"/>
            </w:tcBorders>
            <w:tcMar>
              <w:top w:w="120.0" w:type="dxa"/>
              <w:left w:w="180.0" w:type="dxa"/>
              <w:bottom w:w="120.0" w:type="dxa"/>
              <w:right w:w="180.0" w:type="dxa"/>
            </w:tcMar>
            <w:vAlign w:val="top"/>
          </w:tcPr>
          <w:p w:rsidR="00000000" w:rsidDel="00000000" w:rsidP="00000000" w:rsidRDefault="00000000" w:rsidRPr="00000000" w14:paraId="0000004C">
            <w:pPr>
              <w:spacing w:after="48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4-in-1 pre-school booster (DTaP/IPV)</w:t>
            </w:r>
          </w:p>
          <w:p w:rsidR="00000000" w:rsidDel="00000000" w:rsidP="00000000" w:rsidRDefault="00000000" w:rsidRPr="00000000" w14:paraId="0000004D">
            <w:pPr>
              <w:spacing w:after="48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E">
            <w:pPr>
              <w:spacing w:after="48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MMRV</w:t>
            </w:r>
          </w:p>
        </w:tc>
      </w:tr>
    </w:tbl>
    <w:p w:rsidR="00000000" w:rsidDel="00000000" w:rsidP="00000000" w:rsidRDefault="00000000" w:rsidRPr="00000000" w14:paraId="0000004F">
      <w:pPr>
        <w:pageBreakBefore w:val="0"/>
        <w:ind w:left="0" w:firstLine="0"/>
        <w:rPr>
          <w:rFonts w:ascii="Calibri" w:cs="Calibri" w:eastAsia="Calibri" w:hAnsi="Calibri"/>
          <w:b w:val="1"/>
          <w:bCs w:val="1"/>
          <w:sz w:val="28"/>
          <w:szCs w:val="28"/>
        </w:rPr>
      </w:pPr>
      <w:r w:rsidDel="00000000" w:rsidR="00000000" w:rsidRPr="00000000">
        <w:rPr>
          <w:rtl w:val="0"/>
        </w:rPr>
      </w:r>
    </w:p>
    <w:sectPr>
      <w:headerReference r:id="rId6" w:type="default"/>
      <w:footerReference r:id="rId7" w:type="default"/>
      <w:pgSz w:h="16834" w:w="11909" w:orient="portrait"/>
      <w:pgMar w:bottom="1440.0000000000002" w:top="1440.0000000000002" w:left="708.6614173228347" w:right="708.6614173228347"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1">
    <w:pPr>
      <w:pageBreakBefore w:val="0"/>
      <w:rPr/>
    </w:pPr>
    <w:r w:rsidDel="00000000" w:rsidR="00000000" w:rsidRPr="00000000">
      <w:rPr>
        <w:rtl w:val="0"/>
      </w:rPr>
      <w:t xml:space="preserve">Last Updated: Sept 2026</w:t>
      <w:tab/>
      <w:tab/>
      <w:tab/>
      <w:t xml:space="preserve">Author: Josh Fisher</w:t>
      <w:tab/>
      <w:tab/>
      <w:t xml:space="preserve">Version 3</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0">
    <w:pPr>
      <w:pageBreakBefore w:val="0"/>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4419600</wp:posOffset>
          </wp:positionH>
          <wp:positionV relativeFrom="paragraph">
            <wp:posOffset>-447674</wp:posOffset>
          </wp:positionV>
          <wp:extent cx="2384743" cy="881063"/>
          <wp:effectExtent b="0" l="0" r="0" t="0"/>
          <wp:wrapTopAndBottom distB="0" dist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384743" cy="881063"/>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